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D992B" w14:textId="77777777" w:rsidR="00F0329B" w:rsidRDefault="00206A24">
      <w:r>
        <w:t xml:space="preserve">PROVINCIA DI </w:t>
      </w:r>
      <w:r>
        <w:rPr>
          <w:highlight w:val="yellow"/>
        </w:rPr>
        <w:t>(nome della Provincia)</w:t>
      </w:r>
    </w:p>
    <w:p w14:paraId="5699B5E6" w14:textId="77777777" w:rsidR="00F0329B" w:rsidRDefault="00206A24">
      <w:pPr>
        <w:pStyle w:val="Titolo"/>
        <w:rPr>
          <w:rFonts w:ascii="Times New Roman" w:hAnsi="Times New Roman" w:cs="Times New Roman"/>
        </w:rPr>
      </w:pPr>
      <w:r>
        <w:rPr>
          <w:rFonts w:ascii="Times New Roman" w:hAnsi="Times New Roman" w:cs="Times New Roman"/>
        </w:rPr>
        <w:t>CONVENZIONE ADESIONE AL SERVIZIO DI STAZIONE UNICA APPALTANTE (S.U.A.)</w:t>
      </w:r>
    </w:p>
    <w:p w14:paraId="61E429FF" w14:textId="77777777" w:rsidR="00F0329B" w:rsidRDefault="00206A24">
      <w:pPr>
        <w:pStyle w:val="Sottotitolo"/>
        <w:rPr>
          <w:rFonts w:ascii="Times New Roman" w:hAnsi="Times New Roman" w:cs="Times New Roman"/>
        </w:rPr>
      </w:pPr>
      <w:r>
        <w:rPr>
          <w:rFonts w:ascii="Times New Roman" w:hAnsi="Times New Roman" w:cs="Times New Roman"/>
        </w:rPr>
        <w:t xml:space="preserve">Esente da bollo ai sensi dell’art. 16 Tab. </w:t>
      </w:r>
      <w:proofErr w:type="spellStart"/>
      <w:r>
        <w:rPr>
          <w:rFonts w:ascii="Times New Roman" w:hAnsi="Times New Roman" w:cs="Times New Roman"/>
        </w:rPr>
        <w:t>All</w:t>
      </w:r>
      <w:proofErr w:type="spellEnd"/>
      <w:r>
        <w:rPr>
          <w:rFonts w:ascii="Times New Roman" w:hAnsi="Times New Roman" w:cs="Times New Roman"/>
        </w:rPr>
        <w:t>. B) D.P.R. 26.10.1972 n. 642</w:t>
      </w:r>
    </w:p>
    <w:p w14:paraId="092BF5A1" w14:textId="77777777" w:rsidR="00F0329B" w:rsidRDefault="00F0329B">
      <w:pPr>
        <w:rPr>
          <w:rFonts w:cs="Times New Roman"/>
        </w:rPr>
      </w:pPr>
    </w:p>
    <w:p w14:paraId="767ADABB" w14:textId="77777777" w:rsidR="00F0329B" w:rsidRDefault="00F0329B">
      <w:pPr>
        <w:rPr>
          <w:rFonts w:cs="Times New Roman"/>
        </w:rPr>
      </w:pPr>
    </w:p>
    <w:bookmarkStart w:id="0" w:name="_Toc178327378" w:displacedByCustomXml="next"/>
    <w:bookmarkEnd w:id="0" w:displacedByCustomXml="next"/>
    <w:sdt>
      <w:sdtPr>
        <w:rPr>
          <w:rFonts w:ascii="Times New Roman" w:eastAsia="Andale Sans UI" w:hAnsi="Times New Roman" w:cs="Tahoma"/>
          <w:b w:val="0"/>
          <w:bCs w:val="0"/>
          <w:kern w:val="2"/>
          <w:sz w:val="24"/>
          <w:szCs w:val="24"/>
          <w:lang w:eastAsia="ja-JP" w:bidi="fa-IR"/>
        </w:rPr>
        <w:id w:val="1652685619"/>
        <w:docPartObj>
          <w:docPartGallery w:val="Table of Contents"/>
          <w:docPartUnique/>
        </w:docPartObj>
      </w:sdtPr>
      <w:sdtEndPr/>
      <w:sdtContent>
        <w:p w14:paraId="62262F71" w14:textId="77777777" w:rsidR="00F0329B" w:rsidRDefault="00206A24">
          <w:pPr>
            <w:pStyle w:val="Titolosommario"/>
          </w:pPr>
          <w:r>
            <w:rPr>
              <w:rFonts w:ascii="Times New Roman" w:hAnsi="Times New Roman" w:cs="Times New Roman"/>
            </w:rPr>
            <w:t>Sommario</w:t>
          </w:r>
        </w:p>
        <w:p w14:paraId="6DF6F776" w14:textId="77777777" w:rsidR="00F0329B" w:rsidRDefault="00206A24">
          <w:pPr>
            <w:pStyle w:val="Sommario1"/>
            <w:rPr>
              <w:rFonts w:eastAsiaTheme="minorEastAsia" w:cs="Times New Roman"/>
              <w:lang w:eastAsia="it-IT" w:bidi="ar-SA"/>
              <w14:ligatures w14:val="standardContextual"/>
            </w:rPr>
          </w:pPr>
          <w:r>
            <w:fldChar w:fldCharType="begin"/>
          </w:r>
          <w:r>
            <w:instrText>TOC \z \o "1-3" \u \h</w:instrText>
          </w:r>
          <w:r>
            <w:fldChar w:fldCharType="separate"/>
          </w:r>
          <w:hyperlink w:anchor="_Toc178327384">
            <w:r>
              <w:rPr>
                <w:rStyle w:val="CollegamentoInternet"/>
                <w:rFonts w:cs="Times New Roman"/>
                <w:webHidden/>
              </w:rPr>
              <w:t>Art. 1 Ambito di operatività ed oggetto della Convenzione</w:t>
            </w:r>
            <w:r>
              <w:rPr>
                <w:webHidden/>
              </w:rPr>
              <w:fldChar w:fldCharType="begin"/>
            </w:r>
            <w:r>
              <w:rPr>
                <w:webHidden/>
              </w:rPr>
              <w:instrText>PAGEREF _Toc178327384 \h</w:instrText>
            </w:r>
            <w:r>
              <w:rPr>
                <w:webHidden/>
              </w:rPr>
            </w:r>
            <w:r>
              <w:rPr>
                <w:webHidden/>
              </w:rPr>
              <w:fldChar w:fldCharType="separate"/>
            </w:r>
            <w:r>
              <w:rPr>
                <w:rStyle w:val="Saltoaindice"/>
                <w:rFonts w:cs="Times New Roman"/>
              </w:rPr>
              <w:tab/>
              <w:t>5</w:t>
            </w:r>
            <w:r>
              <w:rPr>
                <w:webHidden/>
              </w:rPr>
              <w:fldChar w:fldCharType="end"/>
            </w:r>
          </w:hyperlink>
        </w:p>
        <w:p w14:paraId="36805BE9" w14:textId="77777777" w:rsidR="00F0329B" w:rsidRDefault="00206A24">
          <w:pPr>
            <w:pStyle w:val="Sommario1"/>
            <w:rPr>
              <w:rFonts w:eastAsiaTheme="minorEastAsia" w:cs="Times New Roman"/>
              <w:lang w:eastAsia="it-IT" w:bidi="ar-SA"/>
              <w14:ligatures w14:val="standardContextual"/>
            </w:rPr>
          </w:pPr>
          <w:hyperlink w:anchor="_Toc178327385">
            <w:r>
              <w:rPr>
                <w:rStyle w:val="CollegamentoInternet"/>
                <w:rFonts w:cs="Times New Roman"/>
                <w:webHidden/>
              </w:rPr>
              <w:t>Art. 2 Principi generali</w:t>
            </w:r>
            <w:r>
              <w:rPr>
                <w:webHidden/>
              </w:rPr>
              <w:fldChar w:fldCharType="begin"/>
            </w:r>
            <w:r>
              <w:rPr>
                <w:webHidden/>
              </w:rPr>
              <w:instrText>PAGEREF _Toc178327385 \h</w:instrText>
            </w:r>
            <w:r>
              <w:rPr>
                <w:webHidden/>
              </w:rPr>
            </w:r>
            <w:r>
              <w:rPr>
                <w:webHidden/>
              </w:rPr>
              <w:fldChar w:fldCharType="separate"/>
            </w:r>
            <w:r>
              <w:rPr>
                <w:rStyle w:val="Saltoaindice"/>
                <w:rFonts w:cs="Times New Roman"/>
              </w:rPr>
              <w:tab/>
              <w:t>6</w:t>
            </w:r>
            <w:r>
              <w:rPr>
                <w:webHidden/>
              </w:rPr>
              <w:fldChar w:fldCharType="end"/>
            </w:r>
          </w:hyperlink>
        </w:p>
        <w:p w14:paraId="7552BECD" w14:textId="77777777" w:rsidR="00F0329B" w:rsidRDefault="00206A24">
          <w:pPr>
            <w:pStyle w:val="Sommario1"/>
            <w:rPr>
              <w:rFonts w:eastAsiaTheme="minorEastAsia" w:cs="Times New Roman"/>
              <w:lang w:eastAsia="it-IT" w:bidi="ar-SA"/>
              <w14:ligatures w14:val="standardContextual"/>
            </w:rPr>
          </w:pPr>
          <w:hyperlink w:anchor="_Toc178327386">
            <w:r>
              <w:rPr>
                <w:rStyle w:val="CollegamentoInternet"/>
                <w:rFonts w:cs="Times New Roman"/>
                <w:webHidden/>
              </w:rPr>
              <w:t>Art. 3 Decorrenza e durata della convenzione</w:t>
            </w:r>
            <w:r>
              <w:rPr>
                <w:webHidden/>
              </w:rPr>
              <w:fldChar w:fldCharType="begin"/>
            </w:r>
            <w:r>
              <w:rPr>
                <w:webHidden/>
              </w:rPr>
              <w:instrText>PAGEREF _Toc178327386 \h</w:instrText>
            </w:r>
            <w:r>
              <w:rPr>
                <w:webHidden/>
              </w:rPr>
            </w:r>
            <w:r>
              <w:rPr>
                <w:webHidden/>
              </w:rPr>
              <w:fldChar w:fldCharType="separate"/>
            </w:r>
            <w:r>
              <w:rPr>
                <w:rStyle w:val="Saltoaindice"/>
                <w:rFonts w:cs="Times New Roman"/>
              </w:rPr>
              <w:tab/>
              <w:t>6</w:t>
            </w:r>
            <w:r>
              <w:rPr>
                <w:webHidden/>
              </w:rPr>
              <w:fldChar w:fldCharType="end"/>
            </w:r>
          </w:hyperlink>
        </w:p>
        <w:p w14:paraId="026EB16B" w14:textId="77777777" w:rsidR="00F0329B" w:rsidRDefault="00206A24">
          <w:pPr>
            <w:pStyle w:val="Sommario1"/>
            <w:rPr>
              <w:rFonts w:eastAsiaTheme="minorEastAsia" w:cs="Times New Roman"/>
              <w:lang w:eastAsia="it-IT" w:bidi="ar-SA"/>
              <w14:ligatures w14:val="standardContextual"/>
            </w:rPr>
          </w:pPr>
          <w:hyperlink w:anchor="_Toc178327387">
            <w:r>
              <w:rPr>
                <w:rStyle w:val="CollegamentoInternet"/>
                <w:rFonts w:cs="Times New Roman"/>
                <w:webHidden/>
              </w:rPr>
              <w:t>Art. 4 Organizzazione e dotazione strumentale della S.U.A.</w:t>
            </w:r>
            <w:r>
              <w:rPr>
                <w:webHidden/>
              </w:rPr>
              <w:fldChar w:fldCharType="begin"/>
            </w:r>
            <w:r>
              <w:rPr>
                <w:webHidden/>
              </w:rPr>
              <w:instrText>PAGEREF _Toc178327387 \h</w:instrText>
            </w:r>
            <w:r>
              <w:rPr>
                <w:webHidden/>
              </w:rPr>
            </w:r>
            <w:r>
              <w:rPr>
                <w:webHidden/>
              </w:rPr>
              <w:fldChar w:fldCharType="separate"/>
            </w:r>
            <w:r>
              <w:rPr>
                <w:rStyle w:val="Saltoaindice"/>
                <w:rFonts w:cs="Times New Roman"/>
              </w:rPr>
              <w:tab/>
              <w:t>6</w:t>
            </w:r>
            <w:r>
              <w:rPr>
                <w:webHidden/>
              </w:rPr>
              <w:fldChar w:fldCharType="end"/>
            </w:r>
          </w:hyperlink>
        </w:p>
        <w:p w14:paraId="6B98FB8F" w14:textId="77777777" w:rsidR="00F0329B" w:rsidRDefault="00206A24">
          <w:pPr>
            <w:pStyle w:val="Sommario1"/>
            <w:rPr>
              <w:rFonts w:eastAsiaTheme="minorEastAsia" w:cs="Times New Roman"/>
              <w:lang w:eastAsia="it-IT" w:bidi="ar-SA"/>
              <w14:ligatures w14:val="standardContextual"/>
            </w:rPr>
          </w:pPr>
          <w:hyperlink w:anchor="_Toc178327388">
            <w:r>
              <w:rPr>
                <w:rStyle w:val="CollegamentoInternet"/>
                <w:rFonts w:cs="Times New Roman"/>
                <w:webHidden/>
              </w:rPr>
              <w:t>Art. 5 Nomina dei soggetti Responsabili e relative comunicazioni</w:t>
            </w:r>
            <w:r>
              <w:rPr>
                <w:webHidden/>
              </w:rPr>
              <w:fldChar w:fldCharType="begin"/>
            </w:r>
            <w:r>
              <w:rPr>
                <w:webHidden/>
              </w:rPr>
              <w:instrText>PAGEREF _Toc178327388 \h</w:instrText>
            </w:r>
            <w:r>
              <w:rPr>
                <w:webHidden/>
              </w:rPr>
            </w:r>
            <w:r>
              <w:rPr>
                <w:webHidden/>
              </w:rPr>
              <w:fldChar w:fldCharType="separate"/>
            </w:r>
            <w:r>
              <w:rPr>
                <w:rStyle w:val="Saltoaindice"/>
                <w:rFonts w:cs="Times New Roman"/>
              </w:rPr>
              <w:tab/>
              <w:t>7</w:t>
            </w:r>
            <w:r>
              <w:rPr>
                <w:webHidden/>
              </w:rPr>
              <w:fldChar w:fldCharType="end"/>
            </w:r>
          </w:hyperlink>
        </w:p>
        <w:p w14:paraId="66F784CD" w14:textId="77777777" w:rsidR="00F0329B" w:rsidRDefault="00206A24">
          <w:pPr>
            <w:pStyle w:val="Sommario1"/>
            <w:rPr>
              <w:rFonts w:eastAsiaTheme="minorEastAsia" w:cs="Times New Roman"/>
              <w:lang w:eastAsia="it-IT" w:bidi="ar-SA"/>
              <w14:ligatures w14:val="standardContextual"/>
            </w:rPr>
          </w:pPr>
          <w:hyperlink w:anchor="_Toc178327389">
            <w:r>
              <w:rPr>
                <w:rStyle w:val="CollegamentoInternet"/>
                <w:rFonts w:cs="Times New Roman"/>
                <w:webHidden/>
              </w:rPr>
              <w:t>Art. 6 Raccolta dei fabbisogni e programmazione degli affidamenti.</w:t>
            </w:r>
            <w:r>
              <w:rPr>
                <w:webHidden/>
              </w:rPr>
              <w:fldChar w:fldCharType="begin"/>
            </w:r>
            <w:r>
              <w:rPr>
                <w:webHidden/>
              </w:rPr>
              <w:instrText>PAGEREF _Toc178327389 \h</w:instrText>
            </w:r>
            <w:r>
              <w:rPr>
                <w:webHidden/>
              </w:rPr>
            </w:r>
            <w:r>
              <w:rPr>
                <w:webHidden/>
              </w:rPr>
              <w:fldChar w:fldCharType="separate"/>
            </w:r>
            <w:r>
              <w:rPr>
                <w:rStyle w:val="Saltoaindice"/>
                <w:rFonts w:cs="Times New Roman"/>
              </w:rPr>
              <w:tab/>
              <w:t>7</w:t>
            </w:r>
            <w:r>
              <w:rPr>
                <w:webHidden/>
              </w:rPr>
              <w:fldChar w:fldCharType="end"/>
            </w:r>
          </w:hyperlink>
        </w:p>
        <w:p w14:paraId="40AE93F3" w14:textId="77777777" w:rsidR="00F0329B" w:rsidRDefault="00206A24">
          <w:pPr>
            <w:pStyle w:val="Sommario1"/>
            <w:rPr>
              <w:rFonts w:eastAsiaTheme="minorEastAsia" w:cs="Times New Roman"/>
              <w:lang w:eastAsia="it-IT" w:bidi="ar-SA"/>
              <w14:ligatures w14:val="standardContextual"/>
            </w:rPr>
          </w:pPr>
          <w:hyperlink w:anchor="_Toc178327390">
            <w:r>
              <w:rPr>
                <w:rStyle w:val="CollegamentoInternet"/>
                <w:rFonts w:cs="Times New Roman"/>
                <w:webHidden/>
              </w:rPr>
              <w:t>Art. 7 Progettazione della gara e avvio del procedimento.</w:t>
            </w:r>
            <w:r>
              <w:rPr>
                <w:webHidden/>
              </w:rPr>
              <w:fldChar w:fldCharType="begin"/>
            </w:r>
            <w:r>
              <w:rPr>
                <w:webHidden/>
              </w:rPr>
              <w:instrText>PAGEREF _Toc178327390 \h</w:instrText>
            </w:r>
            <w:r>
              <w:rPr>
                <w:webHidden/>
              </w:rPr>
            </w:r>
            <w:r>
              <w:rPr>
                <w:webHidden/>
              </w:rPr>
              <w:fldChar w:fldCharType="separate"/>
            </w:r>
            <w:r>
              <w:rPr>
                <w:rStyle w:val="Saltoaindice"/>
                <w:rFonts w:cs="Times New Roman"/>
              </w:rPr>
              <w:tab/>
              <w:t>8</w:t>
            </w:r>
            <w:r>
              <w:rPr>
                <w:webHidden/>
              </w:rPr>
              <w:fldChar w:fldCharType="end"/>
            </w:r>
          </w:hyperlink>
        </w:p>
        <w:p w14:paraId="046EA533" w14:textId="77777777" w:rsidR="00F0329B" w:rsidRDefault="00206A24">
          <w:pPr>
            <w:pStyle w:val="Sommario1"/>
            <w:rPr>
              <w:rFonts w:eastAsiaTheme="minorEastAsia" w:cs="Times New Roman"/>
              <w:lang w:eastAsia="it-IT" w:bidi="ar-SA"/>
              <w14:ligatures w14:val="standardContextual"/>
            </w:rPr>
          </w:pPr>
          <w:hyperlink w:anchor="_Toc178327391">
            <w:r>
              <w:rPr>
                <w:rStyle w:val="CollegamentoInternet"/>
                <w:rFonts w:cs="Times New Roman"/>
                <w:webHidden/>
              </w:rPr>
              <w:t>Art. 8 Attività di competenza della Stazione Unica Appaltante</w:t>
            </w:r>
            <w:r>
              <w:rPr>
                <w:webHidden/>
              </w:rPr>
              <w:fldChar w:fldCharType="begin"/>
            </w:r>
            <w:r>
              <w:rPr>
                <w:webHidden/>
              </w:rPr>
              <w:instrText>PAGEREF _Toc178327391 \h</w:instrText>
            </w:r>
            <w:r>
              <w:rPr>
                <w:webHidden/>
              </w:rPr>
            </w:r>
            <w:r>
              <w:rPr>
                <w:webHidden/>
              </w:rPr>
              <w:fldChar w:fldCharType="separate"/>
            </w:r>
            <w:r>
              <w:rPr>
                <w:rStyle w:val="Saltoaindice"/>
                <w:rFonts w:cs="Times New Roman"/>
              </w:rPr>
              <w:tab/>
              <w:t>9</w:t>
            </w:r>
            <w:r>
              <w:rPr>
                <w:webHidden/>
              </w:rPr>
              <w:fldChar w:fldCharType="end"/>
            </w:r>
          </w:hyperlink>
        </w:p>
        <w:p w14:paraId="23C459CA" w14:textId="77777777" w:rsidR="00F0329B" w:rsidRDefault="00206A24">
          <w:pPr>
            <w:pStyle w:val="Sommario1"/>
            <w:rPr>
              <w:rFonts w:eastAsiaTheme="minorEastAsia" w:cs="Times New Roman"/>
              <w:lang w:eastAsia="it-IT" w:bidi="ar-SA"/>
              <w14:ligatures w14:val="standardContextual"/>
            </w:rPr>
          </w:pPr>
          <w:hyperlink w:anchor="_Toc178327392">
            <w:r>
              <w:rPr>
                <w:rStyle w:val="CollegamentoInternet"/>
                <w:rFonts w:cs="Times New Roman"/>
                <w:webHidden/>
              </w:rPr>
              <w:t>Art. 9 Attività di competenza dell’Ente aderente</w:t>
            </w:r>
            <w:r>
              <w:rPr>
                <w:webHidden/>
              </w:rPr>
              <w:fldChar w:fldCharType="begin"/>
            </w:r>
            <w:r>
              <w:rPr>
                <w:webHidden/>
              </w:rPr>
              <w:instrText>PAGEREF _Toc178327392 \h</w:instrText>
            </w:r>
            <w:r>
              <w:rPr>
                <w:webHidden/>
              </w:rPr>
            </w:r>
            <w:r>
              <w:rPr>
                <w:webHidden/>
              </w:rPr>
              <w:fldChar w:fldCharType="separate"/>
            </w:r>
            <w:r>
              <w:rPr>
                <w:rStyle w:val="Saltoaindice"/>
                <w:rFonts w:cs="Times New Roman"/>
              </w:rPr>
              <w:tab/>
              <w:t>10</w:t>
            </w:r>
            <w:r>
              <w:rPr>
                <w:webHidden/>
              </w:rPr>
              <w:fldChar w:fldCharType="end"/>
            </w:r>
          </w:hyperlink>
        </w:p>
        <w:p w14:paraId="3EB56011" w14:textId="77777777" w:rsidR="00F0329B" w:rsidRDefault="00206A24">
          <w:pPr>
            <w:pStyle w:val="Sommario1"/>
            <w:rPr>
              <w:rFonts w:eastAsiaTheme="minorEastAsia" w:cs="Times New Roman"/>
              <w:lang w:eastAsia="it-IT" w:bidi="ar-SA"/>
              <w14:ligatures w14:val="standardContextual"/>
            </w:rPr>
          </w:pPr>
          <w:hyperlink w:anchor="_Toc178327393">
            <w:r>
              <w:rPr>
                <w:rStyle w:val="CollegamentoInternet"/>
                <w:rFonts w:cs="Times New Roman"/>
                <w:webHidden/>
              </w:rPr>
              <w:t>Art. 10 Procedure aggregate ed eventuali ulteriori attività della S.U.A.</w:t>
            </w:r>
            <w:r>
              <w:rPr>
                <w:webHidden/>
              </w:rPr>
              <w:fldChar w:fldCharType="begin"/>
            </w:r>
            <w:r>
              <w:rPr>
                <w:webHidden/>
              </w:rPr>
              <w:instrText>PAGEREF _Toc178327393 \h</w:instrText>
            </w:r>
            <w:r>
              <w:rPr>
                <w:webHidden/>
              </w:rPr>
            </w:r>
            <w:r>
              <w:rPr>
                <w:webHidden/>
              </w:rPr>
              <w:fldChar w:fldCharType="separate"/>
            </w:r>
            <w:r>
              <w:rPr>
                <w:rStyle w:val="Saltoaindice"/>
                <w:rFonts w:cs="Times New Roman"/>
              </w:rPr>
              <w:tab/>
              <w:t>12</w:t>
            </w:r>
            <w:r>
              <w:rPr>
                <w:webHidden/>
              </w:rPr>
              <w:fldChar w:fldCharType="end"/>
            </w:r>
          </w:hyperlink>
        </w:p>
        <w:p w14:paraId="4F33432B" w14:textId="77777777" w:rsidR="00F0329B" w:rsidRDefault="00206A24">
          <w:pPr>
            <w:pStyle w:val="Sommario1"/>
            <w:rPr>
              <w:rFonts w:eastAsiaTheme="minorEastAsia" w:cs="Times New Roman"/>
              <w:lang w:eastAsia="it-IT" w:bidi="ar-SA"/>
              <w14:ligatures w14:val="standardContextual"/>
            </w:rPr>
          </w:pPr>
          <w:hyperlink w:anchor="_Toc178327394">
            <w:r>
              <w:rPr>
                <w:rStyle w:val="CollegamentoInternet"/>
                <w:rFonts w:cs="Times New Roman"/>
                <w:webHidden/>
              </w:rPr>
              <w:t>Art. 11 Interventi finanziati attraverso il PNRR o il PNC</w:t>
            </w:r>
            <w:r>
              <w:rPr>
                <w:webHidden/>
              </w:rPr>
              <w:fldChar w:fldCharType="begin"/>
            </w:r>
            <w:r>
              <w:rPr>
                <w:webHidden/>
              </w:rPr>
              <w:instrText>PAGEREF _Toc178327394 \h</w:instrText>
            </w:r>
            <w:r>
              <w:rPr>
                <w:webHidden/>
              </w:rPr>
            </w:r>
            <w:r>
              <w:rPr>
                <w:webHidden/>
              </w:rPr>
              <w:fldChar w:fldCharType="separate"/>
            </w:r>
            <w:r>
              <w:rPr>
                <w:rStyle w:val="Saltoaindice"/>
                <w:rFonts w:cs="Times New Roman"/>
              </w:rPr>
              <w:tab/>
              <w:t>12</w:t>
            </w:r>
            <w:r>
              <w:rPr>
                <w:webHidden/>
              </w:rPr>
              <w:fldChar w:fldCharType="end"/>
            </w:r>
          </w:hyperlink>
        </w:p>
        <w:p w14:paraId="7CA49E09" w14:textId="77777777" w:rsidR="00F0329B" w:rsidRDefault="00206A24">
          <w:pPr>
            <w:pStyle w:val="Sommario1"/>
            <w:rPr>
              <w:rFonts w:eastAsiaTheme="minorEastAsia" w:cs="Times New Roman"/>
              <w:lang w:eastAsia="it-IT" w:bidi="ar-SA"/>
              <w14:ligatures w14:val="standardContextual"/>
            </w:rPr>
          </w:pPr>
          <w:hyperlink w:anchor="_Toc178327395">
            <w:r>
              <w:rPr>
                <w:rStyle w:val="CollegamentoInternet"/>
                <w:rFonts w:cs="Times New Roman"/>
                <w:webHidden/>
              </w:rPr>
              <w:t>Art. 12 Spese di funzionamento e rapporti finanziari</w:t>
            </w:r>
            <w:r>
              <w:rPr>
                <w:webHidden/>
              </w:rPr>
              <w:fldChar w:fldCharType="begin"/>
            </w:r>
            <w:r>
              <w:rPr>
                <w:webHidden/>
              </w:rPr>
              <w:instrText>PAGEREF _Toc178327395 \h</w:instrText>
            </w:r>
            <w:r>
              <w:rPr>
                <w:webHidden/>
              </w:rPr>
            </w:r>
            <w:r>
              <w:rPr>
                <w:webHidden/>
              </w:rPr>
              <w:fldChar w:fldCharType="separate"/>
            </w:r>
            <w:r>
              <w:rPr>
                <w:rStyle w:val="Saltoaindice"/>
                <w:rFonts w:cs="Times New Roman"/>
              </w:rPr>
              <w:tab/>
              <w:t>13</w:t>
            </w:r>
            <w:r>
              <w:rPr>
                <w:webHidden/>
              </w:rPr>
              <w:fldChar w:fldCharType="end"/>
            </w:r>
          </w:hyperlink>
        </w:p>
        <w:p w14:paraId="524FC22B" w14:textId="77777777" w:rsidR="00F0329B" w:rsidRDefault="00206A24">
          <w:pPr>
            <w:pStyle w:val="Sommario1"/>
            <w:rPr>
              <w:rFonts w:eastAsiaTheme="minorEastAsia" w:cs="Times New Roman"/>
              <w:lang w:eastAsia="it-IT" w:bidi="ar-SA"/>
              <w14:ligatures w14:val="standardContextual"/>
            </w:rPr>
          </w:pPr>
          <w:hyperlink w:anchor="_Toc178327396">
            <w:r>
              <w:rPr>
                <w:rStyle w:val="CollegamentoInternet"/>
                <w:rFonts w:cs="Times New Roman"/>
                <w:webHidden/>
              </w:rPr>
              <w:t>Art. 13 Recesso e risoluzione</w:t>
            </w:r>
            <w:r>
              <w:rPr>
                <w:webHidden/>
              </w:rPr>
              <w:fldChar w:fldCharType="begin"/>
            </w:r>
            <w:r>
              <w:rPr>
                <w:webHidden/>
              </w:rPr>
              <w:instrText>PAGEREF _Toc178327396 \h</w:instrText>
            </w:r>
            <w:r>
              <w:rPr>
                <w:webHidden/>
              </w:rPr>
            </w:r>
            <w:r>
              <w:rPr>
                <w:webHidden/>
              </w:rPr>
              <w:fldChar w:fldCharType="separate"/>
            </w:r>
            <w:r>
              <w:rPr>
                <w:rStyle w:val="Saltoaindice"/>
                <w:rFonts w:cs="Times New Roman"/>
              </w:rPr>
              <w:tab/>
              <w:t>15</w:t>
            </w:r>
            <w:r>
              <w:rPr>
                <w:webHidden/>
              </w:rPr>
              <w:fldChar w:fldCharType="end"/>
            </w:r>
          </w:hyperlink>
        </w:p>
        <w:p w14:paraId="58D8D20C" w14:textId="77777777" w:rsidR="00F0329B" w:rsidRDefault="00206A24">
          <w:pPr>
            <w:pStyle w:val="Sommario1"/>
            <w:rPr>
              <w:rFonts w:eastAsiaTheme="minorEastAsia" w:cs="Times New Roman"/>
              <w:lang w:eastAsia="it-IT" w:bidi="ar-SA"/>
              <w14:ligatures w14:val="standardContextual"/>
            </w:rPr>
          </w:pPr>
          <w:hyperlink w:anchor="_Toc178327397">
            <w:r>
              <w:rPr>
                <w:rStyle w:val="CollegamentoInternet"/>
                <w:rFonts w:cs="Times New Roman"/>
                <w:webHidden/>
              </w:rPr>
              <w:t>Art. 14 Non esclusività</w:t>
            </w:r>
            <w:r>
              <w:rPr>
                <w:webHidden/>
              </w:rPr>
              <w:fldChar w:fldCharType="begin"/>
            </w:r>
            <w:r>
              <w:rPr>
                <w:webHidden/>
              </w:rPr>
              <w:instrText>PAGEREF _Toc178327397 \h</w:instrText>
            </w:r>
            <w:r>
              <w:rPr>
                <w:webHidden/>
              </w:rPr>
            </w:r>
            <w:r>
              <w:rPr>
                <w:webHidden/>
              </w:rPr>
              <w:fldChar w:fldCharType="separate"/>
            </w:r>
            <w:r>
              <w:rPr>
                <w:rStyle w:val="Saltoaindice"/>
                <w:rFonts w:cs="Times New Roman"/>
              </w:rPr>
              <w:tab/>
              <w:t>15</w:t>
            </w:r>
            <w:r>
              <w:rPr>
                <w:webHidden/>
              </w:rPr>
              <w:fldChar w:fldCharType="end"/>
            </w:r>
          </w:hyperlink>
        </w:p>
        <w:p w14:paraId="10FEFBD1" w14:textId="77777777" w:rsidR="00F0329B" w:rsidRDefault="00206A24">
          <w:pPr>
            <w:pStyle w:val="Sommario1"/>
            <w:rPr>
              <w:rFonts w:eastAsiaTheme="minorEastAsia" w:cs="Times New Roman"/>
              <w:lang w:eastAsia="it-IT" w:bidi="ar-SA"/>
              <w14:ligatures w14:val="standardContextual"/>
            </w:rPr>
          </w:pPr>
          <w:hyperlink w:anchor="_Toc178327398">
            <w:r>
              <w:rPr>
                <w:rStyle w:val="CollegamentoInternet"/>
                <w:rFonts w:cs="Times New Roman"/>
                <w:webHidden/>
              </w:rPr>
              <w:t>Art. 15 Prevenzione della corruzione</w:t>
            </w:r>
            <w:r>
              <w:rPr>
                <w:webHidden/>
              </w:rPr>
              <w:fldChar w:fldCharType="begin"/>
            </w:r>
            <w:r>
              <w:rPr>
                <w:webHidden/>
              </w:rPr>
              <w:instrText>PAGEREF _Toc178327398 \h</w:instrText>
            </w:r>
            <w:r>
              <w:rPr>
                <w:webHidden/>
              </w:rPr>
            </w:r>
            <w:r>
              <w:rPr>
                <w:webHidden/>
              </w:rPr>
              <w:fldChar w:fldCharType="separate"/>
            </w:r>
            <w:r>
              <w:rPr>
                <w:rStyle w:val="Saltoaindice"/>
                <w:rFonts w:cs="Times New Roman"/>
              </w:rPr>
              <w:tab/>
              <w:t>15</w:t>
            </w:r>
            <w:r>
              <w:rPr>
                <w:webHidden/>
              </w:rPr>
              <w:fldChar w:fldCharType="end"/>
            </w:r>
          </w:hyperlink>
        </w:p>
        <w:p w14:paraId="210F3228" w14:textId="77777777" w:rsidR="00F0329B" w:rsidRDefault="00206A24">
          <w:pPr>
            <w:pStyle w:val="Sommario1"/>
            <w:rPr>
              <w:rFonts w:eastAsiaTheme="minorEastAsia" w:cs="Times New Roman"/>
              <w:lang w:eastAsia="it-IT" w:bidi="ar-SA"/>
              <w14:ligatures w14:val="standardContextual"/>
            </w:rPr>
          </w:pPr>
          <w:hyperlink w:anchor="_Toc178327399">
            <w:r>
              <w:rPr>
                <w:rStyle w:val="CollegamentoInternet"/>
                <w:rFonts w:cs="Times New Roman"/>
                <w:webHidden/>
              </w:rPr>
              <w:t>Art. 16 Collaborazione nei contenziosi instaurati da terzi</w:t>
            </w:r>
            <w:r>
              <w:rPr>
                <w:webHidden/>
              </w:rPr>
              <w:fldChar w:fldCharType="begin"/>
            </w:r>
            <w:r>
              <w:rPr>
                <w:webHidden/>
              </w:rPr>
              <w:instrText>PAGEREF _Toc178327399 \h</w:instrText>
            </w:r>
            <w:r>
              <w:rPr>
                <w:webHidden/>
              </w:rPr>
            </w:r>
            <w:r>
              <w:rPr>
                <w:webHidden/>
              </w:rPr>
              <w:fldChar w:fldCharType="separate"/>
            </w:r>
            <w:r>
              <w:rPr>
                <w:rStyle w:val="Saltoaindice"/>
                <w:rFonts w:cs="Times New Roman"/>
              </w:rPr>
              <w:tab/>
              <w:t>15</w:t>
            </w:r>
            <w:r>
              <w:rPr>
                <w:webHidden/>
              </w:rPr>
              <w:fldChar w:fldCharType="end"/>
            </w:r>
          </w:hyperlink>
        </w:p>
        <w:p w14:paraId="5F03E8F8" w14:textId="77777777" w:rsidR="00F0329B" w:rsidRDefault="00206A24">
          <w:pPr>
            <w:pStyle w:val="Sommario1"/>
            <w:rPr>
              <w:rFonts w:eastAsiaTheme="minorEastAsia" w:cs="Times New Roman"/>
              <w:lang w:eastAsia="it-IT" w:bidi="ar-SA"/>
              <w14:ligatures w14:val="standardContextual"/>
            </w:rPr>
          </w:pPr>
          <w:hyperlink w:anchor="_Toc178327400">
            <w:r>
              <w:rPr>
                <w:rStyle w:val="CollegamentoInternet"/>
                <w:rFonts w:cs="Times New Roman"/>
                <w:webHidden/>
              </w:rPr>
              <w:t>Art. 17 Definizione delle controversie tra le Parti</w:t>
            </w:r>
            <w:r>
              <w:rPr>
                <w:webHidden/>
              </w:rPr>
              <w:fldChar w:fldCharType="begin"/>
            </w:r>
            <w:r>
              <w:rPr>
                <w:webHidden/>
              </w:rPr>
              <w:instrText>PAGEREF _Toc178327400 \h</w:instrText>
            </w:r>
            <w:r>
              <w:rPr>
                <w:webHidden/>
              </w:rPr>
            </w:r>
            <w:r>
              <w:rPr>
                <w:webHidden/>
              </w:rPr>
              <w:fldChar w:fldCharType="separate"/>
            </w:r>
            <w:r>
              <w:rPr>
                <w:rStyle w:val="Saltoaindice"/>
                <w:rFonts w:cs="Times New Roman"/>
              </w:rPr>
              <w:tab/>
              <w:t>16</w:t>
            </w:r>
            <w:r>
              <w:rPr>
                <w:webHidden/>
              </w:rPr>
              <w:fldChar w:fldCharType="end"/>
            </w:r>
          </w:hyperlink>
        </w:p>
        <w:p w14:paraId="340D5407" w14:textId="77777777" w:rsidR="00F0329B" w:rsidRDefault="00206A24">
          <w:pPr>
            <w:pStyle w:val="Sommario1"/>
            <w:rPr>
              <w:rFonts w:eastAsiaTheme="minorEastAsia" w:cs="Times New Roman"/>
              <w:lang w:eastAsia="it-IT" w:bidi="ar-SA"/>
              <w14:ligatures w14:val="standardContextual"/>
            </w:rPr>
          </w:pPr>
          <w:hyperlink w:anchor="_Toc178327401">
            <w:r>
              <w:rPr>
                <w:rStyle w:val="CollegamentoInternet"/>
                <w:rFonts w:cs="Times New Roman"/>
                <w:webHidden/>
              </w:rPr>
              <w:t>Art. 18 Rinvio e adeguamento normativo</w:t>
            </w:r>
            <w:r>
              <w:rPr>
                <w:webHidden/>
              </w:rPr>
              <w:fldChar w:fldCharType="begin"/>
            </w:r>
            <w:r>
              <w:rPr>
                <w:webHidden/>
              </w:rPr>
              <w:instrText>PAGEREF _Toc178327401 \h</w:instrText>
            </w:r>
            <w:r>
              <w:rPr>
                <w:webHidden/>
              </w:rPr>
            </w:r>
            <w:r>
              <w:rPr>
                <w:webHidden/>
              </w:rPr>
              <w:fldChar w:fldCharType="separate"/>
            </w:r>
            <w:r>
              <w:rPr>
                <w:rStyle w:val="Saltoaindice"/>
                <w:rFonts w:cs="Times New Roman"/>
              </w:rPr>
              <w:tab/>
              <w:t>16</w:t>
            </w:r>
            <w:r>
              <w:rPr>
                <w:webHidden/>
              </w:rPr>
              <w:fldChar w:fldCharType="end"/>
            </w:r>
          </w:hyperlink>
        </w:p>
        <w:p w14:paraId="7E5D5386" w14:textId="77777777" w:rsidR="00F0329B" w:rsidRDefault="00206A24">
          <w:pPr>
            <w:pStyle w:val="Sommario1"/>
            <w:rPr>
              <w:rFonts w:eastAsiaTheme="minorEastAsia" w:cs="Times New Roman"/>
              <w:lang w:eastAsia="it-IT" w:bidi="ar-SA"/>
              <w14:ligatures w14:val="standardContextual"/>
            </w:rPr>
          </w:pPr>
          <w:hyperlink w:anchor="_Toc178327402">
            <w:r>
              <w:rPr>
                <w:rStyle w:val="CollegamentoInternet"/>
                <w:rFonts w:cs="Times New Roman"/>
                <w:webHidden/>
              </w:rPr>
              <w:t>Art. 19 Registrazione</w:t>
            </w:r>
            <w:r>
              <w:rPr>
                <w:webHidden/>
              </w:rPr>
              <w:fldChar w:fldCharType="begin"/>
            </w:r>
            <w:r>
              <w:rPr>
                <w:webHidden/>
              </w:rPr>
              <w:instrText>PAGEREF _Toc178327402 \h</w:instrText>
            </w:r>
            <w:r>
              <w:rPr>
                <w:webHidden/>
              </w:rPr>
            </w:r>
            <w:r>
              <w:rPr>
                <w:webHidden/>
              </w:rPr>
              <w:fldChar w:fldCharType="separate"/>
            </w:r>
            <w:r>
              <w:rPr>
                <w:rStyle w:val="Saltoaindice"/>
                <w:rFonts w:cs="Times New Roman"/>
              </w:rPr>
              <w:tab/>
              <w:t>16</w:t>
            </w:r>
            <w:r>
              <w:rPr>
                <w:webHidden/>
              </w:rPr>
              <w:fldChar w:fldCharType="end"/>
            </w:r>
          </w:hyperlink>
        </w:p>
        <w:p w14:paraId="5D5A4AB7" w14:textId="77777777" w:rsidR="00F0329B" w:rsidRDefault="00206A24">
          <w:pPr>
            <w:pStyle w:val="Sommario1"/>
            <w:rPr>
              <w:rFonts w:eastAsiaTheme="minorEastAsia" w:cs="Times New Roman"/>
              <w:lang w:eastAsia="it-IT" w:bidi="ar-SA"/>
              <w14:ligatures w14:val="standardContextual"/>
            </w:rPr>
          </w:pPr>
          <w:hyperlink w:anchor="_Toc178327403">
            <w:r>
              <w:rPr>
                <w:rStyle w:val="CollegamentoInternet"/>
                <w:rFonts w:cs="Times New Roman"/>
                <w:webHidden/>
              </w:rPr>
              <w:t>Art. 20 Trattamento dei dati personali</w:t>
            </w:r>
            <w:r>
              <w:rPr>
                <w:webHidden/>
              </w:rPr>
              <w:fldChar w:fldCharType="begin"/>
            </w:r>
            <w:r>
              <w:rPr>
                <w:webHidden/>
              </w:rPr>
              <w:instrText>PAGEREF _Toc178327403 \h</w:instrText>
            </w:r>
            <w:r>
              <w:rPr>
                <w:webHidden/>
              </w:rPr>
            </w:r>
            <w:r>
              <w:rPr>
                <w:webHidden/>
              </w:rPr>
              <w:fldChar w:fldCharType="separate"/>
            </w:r>
            <w:r>
              <w:rPr>
                <w:rStyle w:val="Saltoaindice"/>
                <w:rFonts w:cs="Times New Roman"/>
              </w:rPr>
              <w:tab/>
              <w:t>16</w:t>
            </w:r>
            <w:r>
              <w:rPr>
                <w:webHidden/>
              </w:rPr>
              <w:fldChar w:fldCharType="end"/>
            </w:r>
          </w:hyperlink>
        </w:p>
        <w:p w14:paraId="6BF1453D" w14:textId="77777777" w:rsidR="00F0329B" w:rsidRDefault="00206A24">
          <w:pPr>
            <w:rPr>
              <w:rFonts w:cs="Times New Roman"/>
            </w:rPr>
          </w:pPr>
          <w:r>
            <w:fldChar w:fldCharType="end"/>
          </w:r>
        </w:p>
      </w:sdtContent>
    </w:sdt>
    <w:p w14:paraId="21FA318B" w14:textId="77777777" w:rsidR="00F0329B" w:rsidRDefault="00206A24">
      <w:pPr>
        <w:pStyle w:val="Titolo1"/>
        <w:rPr>
          <w:rFonts w:ascii="Times New Roman" w:hAnsi="Times New Roman" w:cs="Times New Roman"/>
        </w:rPr>
      </w:pPr>
      <w:bookmarkStart w:id="1" w:name="_Toc178327379"/>
      <w:bookmarkEnd w:id="1"/>
      <w:r>
        <w:rPr>
          <w:rFonts w:ascii="Times New Roman" w:hAnsi="Times New Roman" w:cs="Times New Roman"/>
        </w:rPr>
        <w:t>T R A</w:t>
      </w:r>
    </w:p>
    <w:p w14:paraId="164B690E" w14:textId="1E49C2BA" w:rsidR="00F0329B" w:rsidRDefault="00206A24">
      <w:pPr>
        <w:jc w:val="both"/>
        <w:rPr>
          <w:rFonts w:cs="Times New Roman"/>
        </w:rPr>
      </w:pPr>
      <w:r>
        <w:rPr>
          <w:rFonts w:cs="Times New Roman"/>
          <w:sz w:val="28"/>
          <w:szCs w:val="28"/>
        </w:rPr>
        <w:t xml:space="preserve">La PROVINCIA DI (NOME DELLA PROVINCIA), </w:t>
      </w:r>
      <w:r w:rsidRPr="00206A24">
        <w:rPr>
          <w:rFonts w:cs="Times New Roman"/>
          <w:sz w:val="28"/>
          <w:szCs w:val="28"/>
        </w:rPr>
        <w:t xml:space="preserve">con sede in </w:t>
      </w:r>
      <w:r>
        <w:rPr>
          <w:rFonts w:cs="Times New Roman"/>
          <w:sz w:val="28"/>
          <w:szCs w:val="28"/>
        </w:rPr>
        <w:t>____________________________ (nome della Provincia) (sigla della Provincia) – Codice Fiscale</w:t>
      </w:r>
      <w:r>
        <w:rPr>
          <w:rFonts w:cs="Times New Roman"/>
          <w:strike/>
          <w:sz w:val="28"/>
          <w:szCs w:val="28"/>
        </w:rPr>
        <w:t xml:space="preserve"> </w:t>
      </w:r>
      <w:r w:rsidRPr="00206A24">
        <w:rPr>
          <w:rFonts w:cs="Times New Roman"/>
          <w:sz w:val="28"/>
          <w:szCs w:val="28"/>
        </w:rPr>
        <w:t>__________________</w:t>
      </w:r>
      <w:r>
        <w:rPr>
          <w:rFonts w:cs="Times New Roman"/>
          <w:sz w:val="28"/>
          <w:szCs w:val="28"/>
        </w:rPr>
        <w:t>, nella persona di __________________, nato/a  __________________, (____) il __/__/____, (ruolo)__________________, ivi per la carica domiciliato/a, a ciò abilitato/a dall’art. 107 del d.lgs. n. 267/2000 e dal Dispone del Presidente del __/__/____ Prot. n. _____;</w:t>
      </w:r>
    </w:p>
    <w:p w14:paraId="660A0378" w14:textId="77777777" w:rsidR="00F0329B" w:rsidRDefault="00206A24">
      <w:pPr>
        <w:pStyle w:val="Titolo1"/>
        <w:rPr>
          <w:rFonts w:ascii="Times New Roman" w:hAnsi="Times New Roman" w:cs="Times New Roman"/>
        </w:rPr>
      </w:pPr>
      <w:bookmarkStart w:id="2" w:name="_Toc178327380"/>
      <w:bookmarkEnd w:id="2"/>
      <w:r>
        <w:rPr>
          <w:rFonts w:ascii="Times New Roman" w:hAnsi="Times New Roman" w:cs="Times New Roman"/>
        </w:rPr>
        <w:t>E</w:t>
      </w:r>
    </w:p>
    <w:p w14:paraId="2933F414" w14:textId="77777777" w:rsidR="00F0329B" w:rsidRDefault="00206A24">
      <w:pPr>
        <w:jc w:val="both"/>
        <w:rPr>
          <w:rFonts w:cs="Times New Roman"/>
          <w:sz w:val="28"/>
          <w:szCs w:val="28"/>
        </w:rPr>
      </w:pPr>
      <w:r>
        <w:rPr>
          <w:rFonts w:cs="Times New Roman"/>
          <w:sz w:val="28"/>
          <w:szCs w:val="28"/>
        </w:rPr>
        <w:lastRenderedPageBreak/>
        <w:t xml:space="preserve">Il COMUNE DI __________________, / ENTE__________________, con sede in __________________ Via __________________ n. ____ - CAP _____ (paese) __________________   (sigla della Provincia), Codice Fiscale __________________ e Partita Iva __________________ nella persona di (COGNOME) __________________  Tit. __________________ NOME__________________, nato/a </w:t>
      </w:r>
      <w:proofErr w:type="spellStart"/>
      <w:r>
        <w:rPr>
          <w:rFonts w:cs="Times New Roman"/>
          <w:sz w:val="28"/>
          <w:szCs w:val="28"/>
        </w:rPr>
        <w:t>a</w:t>
      </w:r>
      <w:proofErr w:type="spellEnd"/>
      <w:r>
        <w:rPr>
          <w:rFonts w:cs="Times New Roman"/>
          <w:sz w:val="28"/>
          <w:szCs w:val="28"/>
        </w:rPr>
        <w:t xml:space="preserve"> __________________, (____) il __/__/____, (ruolo)__________________, ivi per la carica domiciliato/a, a ciò abilitato/a dall’art. 107 del d.lgs. n. 267/2000 e dalla Deliberazione del __________________ n. ____ in data __/__/____.</w:t>
      </w:r>
    </w:p>
    <w:p w14:paraId="492762CE" w14:textId="77777777" w:rsidR="00F0329B" w:rsidRDefault="00F0329B">
      <w:pPr>
        <w:rPr>
          <w:rFonts w:cs="Times New Roman"/>
        </w:rPr>
      </w:pPr>
    </w:p>
    <w:p w14:paraId="070653E1" w14:textId="77777777" w:rsidR="00F0329B" w:rsidRDefault="00206A24">
      <w:pPr>
        <w:pStyle w:val="Titolo1"/>
        <w:rPr>
          <w:rFonts w:ascii="Times New Roman" w:hAnsi="Times New Roman" w:cs="Times New Roman"/>
        </w:rPr>
      </w:pPr>
      <w:bookmarkStart w:id="3" w:name="_Toc178327381"/>
      <w:bookmarkStart w:id="4" w:name="_Toc101427712"/>
      <w:bookmarkStart w:id="5" w:name="_Toc102362469"/>
      <w:bookmarkEnd w:id="3"/>
      <w:bookmarkEnd w:id="4"/>
      <w:bookmarkEnd w:id="5"/>
      <w:r>
        <w:rPr>
          <w:rFonts w:ascii="Times New Roman" w:hAnsi="Times New Roman" w:cs="Times New Roman"/>
        </w:rPr>
        <w:t>PREMESSO</w:t>
      </w:r>
    </w:p>
    <w:p w14:paraId="18CC8674" w14:textId="77777777" w:rsidR="00F0329B" w:rsidRDefault="00206A24">
      <w:pPr>
        <w:pStyle w:val="Titolo2"/>
        <w:rPr>
          <w:rFonts w:ascii="Times New Roman" w:hAnsi="Times New Roman" w:cs="Times New Roman"/>
        </w:rPr>
      </w:pPr>
      <w:bookmarkStart w:id="6" w:name="page3R_mcid11"/>
      <w:bookmarkStart w:id="7" w:name="_Toc178327382"/>
      <w:bookmarkEnd w:id="6"/>
      <w:bookmarkEnd w:id="7"/>
      <w:r>
        <w:rPr>
          <w:rFonts w:ascii="Times New Roman" w:hAnsi="Times New Roman" w:cs="Times New Roman"/>
        </w:rPr>
        <w:t>Che il d.lgs. 36/2023:</w:t>
      </w:r>
    </w:p>
    <w:p w14:paraId="794ECDF4" w14:textId="77777777" w:rsidR="00F0329B" w:rsidRDefault="00206A24">
      <w:pPr>
        <w:pStyle w:val="Paragrafoelenco"/>
        <w:numPr>
          <w:ilvl w:val="0"/>
          <w:numId w:val="27"/>
        </w:numPr>
        <w:jc w:val="both"/>
        <w:rPr>
          <w:rFonts w:cs="Times New Roman"/>
        </w:rPr>
      </w:pPr>
      <w:r>
        <w:rPr>
          <w:rFonts w:eastAsia="NSimSun" w:cs="Times New Roman"/>
          <w:sz w:val="28"/>
          <w:szCs w:val="28"/>
          <w:lang w:eastAsia="zh-CN" w:bidi="hi-IN"/>
        </w:rPr>
        <w:t>è entrato in vigore, con i relativi allegati, il 1° aprile 2023 mentre le sue disposizioni, con i relativi allegati, acquistano efficacia il 1° luglio 2023;</w:t>
      </w:r>
    </w:p>
    <w:p w14:paraId="5F400439" w14:textId="77777777" w:rsidR="00F0329B" w:rsidRDefault="00206A24">
      <w:pPr>
        <w:pStyle w:val="Paragrafoelenco"/>
        <w:numPr>
          <w:ilvl w:val="0"/>
          <w:numId w:val="27"/>
        </w:numPr>
        <w:jc w:val="both"/>
        <w:rPr>
          <w:rFonts w:cs="Times New Roman"/>
        </w:rPr>
      </w:pPr>
      <w:r>
        <w:rPr>
          <w:rFonts w:eastAsia="NSimSun" w:cs="Times New Roman"/>
          <w:sz w:val="28"/>
          <w:szCs w:val="28"/>
          <w:lang w:eastAsia="zh-CN" w:bidi="hi-IN"/>
        </w:rPr>
        <w:t xml:space="preserve">all’art. 62, comma 1, statuisce che: </w:t>
      </w:r>
      <w:r>
        <w:rPr>
          <w:rFonts w:eastAsia="NSimSun" w:cs="Times New Roman"/>
          <w:i/>
          <w:sz w:val="28"/>
          <w:szCs w:val="28"/>
          <w:lang w:eastAsia="zh-CN" w:bidi="hi-IN"/>
        </w:rPr>
        <w:t>“Tutte le stazioni appaltanti, fermi restando gli obblighi di utilizzo di strumenti di acquisto e di negoziazione previsti dalle vigenti disposizioni in materia di contenimento della spesa, possono procedere direttamente e autonomamente all’acquisizione di forniture e servizi di importo non superiore alle soglie previste per gli affidamenti diretti, e all’affidamento di lavori d’importo pari o inferiore a 500.000 euro, nonché attraverso l’effettuazione di ordini a valere su strumenti di acquisto messi a disposizione dalle centrali di committenza qualificate e dai soggetti aggregatori</w:t>
      </w:r>
      <w:r>
        <w:rPr>
          <w:rFonts w:eastAsia="NSimSun" w:cs="Times New Roman"/>
          <w:sz w:val="28"/>
          <w:szCs w:val="28"/>
          <w:lang w:eastAsia="zh-CN" w:bidi="hi-IN"/>
        </w:rPr>
        <w:t>”.</w:t>
      </w:r>
    </w:p>
    <w:p w14:paraId="35EEDED7" w14:textId="77777777" w:rsidR="00F0329B" w:rsidRDefault="00206A24">
      <w:pPr>
        <w:pStyle w:val="Paragrafoelenco"/>
        <w:numPr>
          <w:ilvl w:val="0"/>
          <w:numId w:val="27"/>
        </w:numPr>
        <w:jc w:val="both"/>
        <w:rPr>
          <w:rFonts w:cs="Times New Roman"/>
        </w:rPr>
      </w:pPr>
      <w:r>
        <w:rPr>
          <w:rFonts w:eastAsia="NSimSun" w:cs="Times New Roman"/>
          <w:sz w:val="28"/>
          <w:szCs w:val="28"/>
          <w:lang w:eastAsia="zh-CN" w:bidi="hi-IN"/>
        </w:rPr>
        <w:t xml:space="preserve">All’art. 62, comma 2, statuisce che: </w:t>
      </w:r>
      <w:r>
        <w:rPr>
          <w:rFonts w:eastAsia="NSimSun" w:cs="Times New Roman"/>
          <w:i/>
          <w:sz w:val="28"/>
          <w:szCs w:val="28"/>
          <w:lang w:eastAsia="zh-CN" w:bidi="hi-IN"/>
        </w:rPr>
        <w:t>“Per effettuare le procedure di importo superiore alle soglie indicate dal comma 1, le stazioni appaltanti devono essere qualificate ai sensi dell’articolo 63 e dell’allegato II.4. Per le procedure di cui al primo periodo, l’ANAC non rilascia il codice identificativo di gara (CIG) alle stazioni appaltanti non qualificate”</w:t>
      </w:r>
      <w:r>
        <w:rPr>
          <w:rFonts w:eastAsia="NSimSun" w:cs="Times New Roman"/>
          <w:sz w:val="28"/>
          <w:szCs w:val="28"/>
          <w:lang w:eastAsia="zh-CN" w:bidi="hi-IN"/>
        </w:rPr>
        <w:t>.</w:t>
      </w:r>
    </w:p>
    <w:p w14:paraId="27E7B9AB" w14:textId="77777777" w:rsidR="00F0329B" w:rsidRDefault="00206A24">
      <w:pPr>
        <w:pStyle w:val="Paragrafoelenco"/>
        <w:numPr>
          <w:ilvl w:val="0"/>
          <w:numId w:val="27"/>
        </w:numPr>
        <w:jc w:val="both"/>
        <w:rPr>
          <w:rFonts w:cs="Times New Roman"/>
          <w:i/>
        </w:rPr>
      </w:pPr>
      <w:r>
        <w:rPr>
          <w:rFonts w:cs="Times New Roman"/>
          <w:sz w:val="28"/>
          <w:szCs w:val="28"/>
        </w:rPr>
        <w:t>all’art. 62, comma 6, statuisce che:</w:t>
      </w:r>
      <w:r>
        <w:rPr>
          <w:rFonts w:cs="Times New Roman"/>
          <w:i/>
          <w:sz w:val="28"/>
          <w:szCs w:val="28"/>
        </w:rPr>
        <w:t xml:space="preserve"> “le stazioni appaltanti non qualificate ai sensi del comma 2 dell’articolo 63, fatto salvo quanto previsto dal comma 1 del presente articolo:</w:t>
      </w:r>
    </w:p>
    <w:p w14:paraId="7FCAAD9C" w14:textId="77777777" w:rsidR="00F0329B" w:rsidRDefault="00206A24">
      <w:pPr>
        <w:pStyle w:val="Paragrafoelenco"/>
        <w:numPr>
          <w:ilvl w:val="0"/>
          <w:numId w:val="1"/>
        </w:numPr>
        <w:jc w:val="both"/>
        <w:rPr>
          <w:rFonts w:cs="Times New Roman"/>
          <w:i/>
        </w:rPr>
      </w:pPr>
      <w:r>
        <w:rPr>
          <w:rFonts w:cs="Times New Roman"/>
          <w:i/>
          <w:sz w:val="28"/>
          <w:szCs w:val="28"/>
        </w:rPr>
        <w:t>procedono all’acquisizione di forniture, servizi e lavori ricorrendo a una centrale di committenza qualificata;</w:t>
      </w:r>
    </w:p>
    <w:p w14:paraId="1D73275F" w14:textId="77777777" w:rsidR="00F0329B" w:rsidRDefault="00206A24">
      <w:pPr>
        <w:pStyle w:val="Paragrafoelenco"/>
        <w:numPr>
          <w:ilvl w:val="0"/>
          <w:numId w:val="1"/>
        </w:numPr>
        <w:jc w:val="both"/>
        <w:rPr>
          <w:rFonts w:cs="Times New Roman"/>
          <w:i/>
        </w:rPr>
      </w:pPr>
      <w:r>
        <w:rPr>
          <w:rFonts w:cs="Times New Roman"/>
          <w:i/>
          <w:sz w:val="28"/>
          <w:szCs w:val="28"/>
        </w:rPr>
        <w:t>ricorrono per attività di committenza ausiliaria di cui all’art. 3, comma 1, lettera z), dell’allegato I.1 a centrali di committenza qualificate e a stazioni appaltanti qualificate;</w:t>
      </w:r>
    </w:p>
    <w:p w14:paraId="65BA17FD" w14:textId="77777777" w:rsidR="00F0329B" w:rsidRDefault="00206A24">
      <w:pPr>
        <w:pStyle w:val="Paragrafoelenco"/>
        <w:numPr>
          <w:ilvl w:val="0"/>
          <w:numId w:val="1"/>
        </w:numPr>
        <w:jc w:val="both"/>
        <w:rPr>
          <w:rFonts w:cs="Times New Roman"/>
          <w:i/>
          <w:sz w:val="28"/>
          <w:szCs w:val="28"/>
        </w:rPr>
      </w:pPr>
      <w:bookmarkStart w:id="8" w:name="page3R_mcid12"/>
      <w:bookmarkEnd w:id="8"/>
      <w:r>
        <w:rPr>
          <w:rFonts w:cs="Times New Roman"/>
          <w:i/>
          <w:sz w:val="28"/>
          <w:szCs w:val="28"/>
        </w:rPr>
        <w:t>procedono ad affidamenti per servizi e forniture di importo inferiore alla soglia europea di cui ai commi 1 e 2 dell’articolo 14 nonché ad affidamenti di lavori di manutenzione ordinaria d’importo inferiore a 1 milione di euro mediante utilizzo autonomo degli strumenti telematici di negoziazione messi a disposizione dalle centrali di committenza qualificate secondo la normativa vigente;</w:t>
      </w:r>
    </w:p>
    <w:p w14:paraId="2F3732C2" w14:textId="77777777" w:rsidR="00F0329B" w:rsidRDefault="00206A24">
      <w:pPr>
        <w:pStyle w:val="Paragrafoelenco"/>
        <w:numPr>
          <w:ilvl w:val="0"/>
          <w:numId w:val="1"/>
        </w:numPr>
        <w:jc w:val="both"/>
        <w:rPr>
          <w:rFonts w:cs="Times New Roman"/>
          <w:i/>
          <w:sz w:val="28"/>
          <w:szCs w:val="28"/>
        </w:rPr>
      </w:pPr>
      <w:r>
        <w:rPr>
          <w:rFonts w:cs="Times New Roman"/>
          <w:i/>
          <w:sz w:val="28"/>
          <w:szCs w:val="28"/>
        </w:rPr>
        <w:t xml:space="preserve">effettuano ordini su strumenti di acquisto messi a disposizione dalle centrali di committenza qualificate e dai soggetti aggregatori, con preliminare preferenza per il territorio regionale di riferimento. Se il bene o il servizio non è disponibile o idoneo al soddisfacimento dello specifico fabbisogno della stazione appaltante, </w:t>
      </w:r>
      <w:r>
        <w:rPr>
          <w:rFonts w:cs="Times New Roman"/>
          <w:i/>
          <w:sz w:val="28"/>
          <w:szCs w:val="28"/>
        </w:rPr>
        <w:lastRenderedPageBreak/>
        <w:t>oppure per ragioni di convenienza economica, la stazione appaltante può agire, previa motivazione, senza limiti territoriali;</w:t>
      </w:r>
    </w:p>
    <w:p w14:paraId="73A2FAE4" w14:textId="77777777" w:rsidR="00F0329B" w:rsidRDefault="00206A24">
      <w:pPr>
        <w:pStyle w:val="Paragrafoelenco"/>
        <w:numPr>
          <w:ilvl w:val="0"/>
          <w:numId w:val="1"/>
        </w:numPr>
        <w:jc w:val="both"/>
        <w:rPr>
          <w:rFonts w:cs="Times New Roman"/>
          <w:i/>
          <w:sz w:val="28"/>
          <w:szCs w:val="28"/>
        </w:rPr>
      </w:pPr>
      <w:r>
        <w:rPr>
          <w:rFonts w:cs="Times New Roman"/>
          <w:i/>
          <w:sz w:val="28"/>
          <w:szCs w:val="28"/>
        </w:rPr>
        <w:t>eseguono i contratti per i quali sono qualificate per l’esecuzione;</w:t>
      </w:r>
    </w:p>
    <w:p w14:paraId="4E7FE26E" w14:textId="77777777" w:rsidR="00F0329B" w:rsidRDefault="00206A24">
      <w:pPr>
        <w:pStyle w:val="Paragrafoelenco"/>
        <w:numPr>
          <w:ilvl w:val="0"/>
          <w:numId w:val="1"/>
        </w:numPr>
        <w:jc w:val="both"/>
        <w:rPr>
          <w:rFonts w:cs="Times New Roman"/>
          <w:i/>
          <w:sz w:val="28"/>
          <w:szCs w:val="28"/>
        </w:rPr>
      </w:pPr>
      <w:r>
        <w:rPr>
          <w:rFonts w:cs="Times New Roman"/>
          <w:i/>
          <w:sz w:val="28"/>
          <w:szCs w:val="28"/>
        </w:rPr>
        <w:t>eseguono i contratti affidati ai sensi delle lettere b) e c);</w:t>
      </w:r>
    </w:p>
    <w:p w14:paraId="1B1E7B7E" w14:textId="77777777" w:rsidR="00F0329B" w:rsidRDefault="00206A24">
      <w:pPr>
        <w:pStyle w:val="Paragrafoelenco"/>
        <w:numPr>
          <w:ilvl w:val="0"/>
          <w:numId w:val="1"/>
        </w:numPr>
        <w:jc w:val="both"/>
        <w:rPr>
          <w:rFonts w:cs="Times New Roman"/>
          <w:i/>
          <w:sz w:val="28"/>
          <w:szCs w:val="28"/>
        </w:rPr>
      </w:pPr>
      <w:r>
        <w:rPr>
          <w:rFonts w:cs="Times New Roman"/>
          <w:i/>
          <w:sz w:val="28"/>
          <w:szCs w:val="28"/>
        </w:rPr>
        <w:t>qualora non siano qualificate per l’esecuzione, ricorrono a una stazione appaltante qualificata, a una centrale di committenza qualificata o a soggetti aggregatori; in tal caso possono provvedere alla nomina di un supporto al RUP della centrale di committenza affidante.”</w:t>
      </w:r>
    </w:p>
    <w:p w14:paraId="7B7448F7" w14:textId="77777777" w:rsidR="00F0329B" w:rsidRDefault="00206A24">
      <w:pPr>
        <w:pStyle w:val="Paragrafoelenco"/>
        <w:numPr>
          <w:ilvl w:val="0"/>
          <w:numId w:val="28"/>
        </w:numPr>
        <w:jc w:val="both"/>
        <w:rPr>
          <w:rFonts w:cs="Times New Roman"/>
        </w:rPr>
      </w:pPr>
      <w:r>
        <w:rPr>
          <w:rFonts w:cs="Times New Roman"/>
          <w:sz w:val="28"/>
          <w:szCs w:val="28"/>
        </w:rPr>
        <w:t xml:space="preserve">all’art. 1, comma 1, lett. i), dell’allegato I.1 definisce la centrale di committenza come </w:t>
      </w:r>
      <w:r>
        <w:rPr>
          <w:rFonts w:cs="Times New Roman"/>
          <w:i/>
          <w:sz w:val="28"/>
          <w:szCs w:val="28"/>
        </w:rPr>
        <w:t>“una stazione appaltante o un ente concedente che fornisce attività di centralizzazione delle committenze in favore di altre stazioni appaltanti o enti concedenti e, se del caso, attività di supporto all’attività di committenza</w:t>
      </w:r>
      <w:bookmarkStart w:id="9" w:name="page36R_mcid1"/>
      <w:bookmarkEnd w:id="9"/>
      <w:r>
        <w:rPr>
          <w:rFonts w:cs="Times New Roman"/>
          <w:i/>
          <w:sz w:val="28"/>
          <w:szCs w:val="28"/>
        </w:rPr>
        <w:t>”;</w:t>
      </w:r>
    </w:p>
    <w:p w14:paraId="372034C6" w14:textId="77777777" w:rsidR="00F0329B" w:rsidRDefault="00206A24">
      <w:pPr>
        <w:pStyle w:val="Paragrafoelenco"/>
        <w:numPr>
          <w:ilvl w:val="0"/>
          <w:numId w:val="28"/>
        </w:numPr>
        <w:jc w:val="both"/>
        <w:rPr>
          <w:rFonts w:cs="Times New Roman"/>
          <w:i/>
        </w:rPr>
      </w:pPr>
      <w:r>
        <w:rPr>
          <w:rFonts w:cs="Times New Roman"/>
          <w:sz w:val="28"/>
          <w:szCs w:val="28"/>
        </w:rPr>
        <w:t xml:space="preserve">all’art. 62, comma 7, statuisce che: </w:t>
      </w:r>
      <w:r>
        <w:rPr>
          <w:rFonts w:cs="Times New Roman"/>
          <w:i/>
          <w:sz w:val="28"/>
          <w:szCs w:val="28"/>
        </w:rPr>
        <w:t>“le centrali di committenza sono indicate nella specifica sezione di cui all’articolo 63, comma 1. In relazione ai requisiti di qualificazione posseduti esse:</w:t>
      </w:r>
    </w:p>
    <w:p w14:paraId="6995724F" w14:textId="77777777" w:rsidR="00F0329B" w:rsidRDefault="00206A24">
      <w:pPr>
        <w:pStyle w:val="Paragrafoelenco"/>
        <w:numPr>
          <w:ilvl w:val="0"/>
          <w:numId w:val="2"/>
        </w:numPr>
        <w:jc w:val="both"/>
        <w:rPr>
          <w:rFonts w:cs="Times New Roman"/>
          <w:i/>
        </w:rPr>
      </w:pPr>
      <w:r>
        <w:rPr>
          <w:rFonts w:cs="Times New Roman"/>
          <w:i/>
          <w:sz w:val="28"/>
          <w:szCs w:val="28"/>
        </w:rPr>
        <w:t>progettano, aggiudicano e stipulano contratti o accordi quadro per conto delle stazioni appaltanti non qualificate;</w:t>
      </w:r>
    </w:p>
    <w:p w14:paraId="254F2D7F" w14:textId="77777777" w:rsidR="00F0329B" w:rsidRDefault="00206A24">
      <w:pPr>
        <w:pStyle w:val="Paragrafoelenco"/>
        <w:numPr>
          <w:ilvl w:val="0"/>
          <w:numId w:val="2"/>
        </w:numPr>
        <w:jc w:val="both"/>
        <w:rPr>
          <w:rFonts w:cs="Times New Roman"/>
          <w:i/>
        </w:rPr>
      </w:pPr>
      <w:r>
        <w:rPr>
          <w:rFonts w:cs="Times New Roman"/>
          <w:i/>
          <w:sz w:val="28"/>
          <w:szCs w:val="28"/>
        </w:rPr>
        <w:t>progettano, aggiudicano e stipulano contratti o accordi quadro per conto delle stazioni appaltanti qualificate;</w:t>
      </w:r>
    </w:p>
    <w:p w14:paraId="69913115" w14:textId="77777777" w:rsidR="00F0329B" w:rsidRDefault="00206A24">
      <w:pPr>
        <w:pStyle w:val="Paragrafoelenco"/>
        <w:numPr>
          <w:ilvl w:val="0"/>
          <w:numId w:val="2"/>
        </w:numPr>
        <w:jc w:val="both"/>
        <w:rPr>
          <w:rFonts w:cs="Times New Roman"/>
          <w:i/>
        </w:rPr>
      </w:pPr>
      <w:r>
        <w:rPr>
          <w:rFonts w:cs="Times New Roman"/>
          <w:i/>
          <w:sz w:val="28"/>
          <w:szCs w:val="28"/>
        </w:rPr>
        <w:t>progettano, aggiudicano e stipulano convenzioni e accordi quadro ai quali le stazioni appaltanti qualificate e non qualificate possono aderire per l’aggiudicazione di propri appalti specifici;</w:t>
      </w:r>
    </w:p>
    <w:p w14:paraId="0214EB91" w14:textId="77777777" w:rsidR="00F0329B" w:rsidRDefault="00206A24">
      <w:pPr>
        <w:pStyle w:val="Paragrafoelenco"/>
        <w:numPr>
          <w:ilvl w:val="0"/>
          <w:numId w:val="2"/>
        </w:numPr>
        <w:jc w:val="both"/>
        <w:rPr>
          <w:rFonts w:cs="Times New Roman"/>
          <w:i/>
        </w:rPr>
      </w:pPr>
      <w:r>
        <w:rPr>
          <w:rFonts w:cs="Times New Roman"/>
          <w:i/>
          <w:sz w:val="28"/>
          <w:szCs w:val="28"/>
        </w:rPr>
        <w:t>istituiscono e gestiscono sistemi dinamici di acquisizione e mercati elettronici di negoziazione;</w:t>
      </w:r>
    </w:p>
    <w:p w14:paraId="779DD398" w14:textId="77777777" w:rsidR="00F0329B" w:rsidRDefault="00206A24">
      <w:pPr>
        <w:pStyle w:val="Paragrafoelenco"/>
        <w:numPr>
          <w:ilvl w:val="0"/>
          <w:numId w:val="2"/>
        </w:numPr>
        <w:jc w:val="both"/>
        <w:rPr>
          <w:rFonts w:cs="Times New Roman"/>
          <w:i/>
        </w:rPr>
      </w:pPr>
      <w:r>
        <w:rPr>
          <w:rFonts w:cs="Times New Roman"/>
          <w:i/>
          <w:sz w:val="28"/>
          <w:szCs w:val="28"/>
        </w:rPr>
        <w:t>eseguono i contratti per conto delle stazioni appaltanti non qualificate nelle ipotesi di cui al comma 6, lettera g);”</w:t>
      </w:r>
    </w:p>
    <w:p w14:paraId="7CCB57B7" w14:textId="77777777" w:rsidR="00F0329B" w:rsidRDefault="00206A24">
      <w:pPr>
        <w:pStyle w:val="Paragrafoelenco"/>
        <w:numPr>
          <w:ilvl w:val="0"/>
          <w:numId w:val="29"/>
        </w:numPr>
        <w:jc w:val="both"/>
        <w:rPr>
          <w:rFonts w:cs="Times New Roman"/>
        </w:rPr>
      </w:pPr>
      <w:r>
        <w:rPr>
          <w:rFonts w:cs="Times New Roman"/>
          <w:sz w:val="28"/>
          <w:szCs w:val="28"/>
        </w:rPr>
        <w:t>all’art. 62, comma 10, statuisce che:</w:t>
      </w:r>
      <w:r>
        <w:rPr>
          <w:rFonts w:cs="Times New Roman"/>
          <w:i/>
          <w:sz w:val="28"/>
          <w:szCs w:val="28"/>
        </w:rPr>
        <w:t xml:space="preserve"> “le stazioni appaltanti non qualificate consultano sul sito istituzionale dell’ANAC l’elenco delle stazioni appaltanti qualificate e delle centrali di committenza qualificate. La domanda di svolgere la procedura di gara, rivolta dalla stazione appaltante non qualificata a una stazione appaltante qualificata o a una centrale di committenza qualificata, si intende accolta se non riceve risposta negativa nel termine di dieci giorni dalla sua ricezione. In caso di risposta negativa, la stazione appaltante non qualificata si rivolge all’ANAC, che provvede entro quindici giorni all’assegnazione d’ufficio della richiesta a una stazione appaltante qualificata o a una centrale di committenza qualificata, individuata sulla base delle fasce di qualificazione di cui all’articolo 63, comma 2. Eventuali inadempienze rispetto all’assegnazione d’ufficio di cui al terzo periodo possono essere sanzionate ai sensi dell’articolo 63, comma 11, secondo periodo.”;</w:t>
      </w:r>
    </w:p>
    <w:p w14:paraId="1FF1152C" w14:textId="77777777" w:rsidR="00F0329B" w:rsidRDefault="00206A24">
      <w:pPr>
        <w:pStyle w:val="Paragrafoelenco"/>
        <w:numPr>
          <w:ilvl w:val="0"/>
          <w:numId w:val="29"/>
        </w:numPr>
        <w:jc w:val="both"/>
        <w:rPr>
          <w:rFonts w:cs="Times New Roman"/>
        </w:rPr>
      </w:pPr>
      <w:r>
        <w:rPr>
          <w:rFonts w:cs="Times New Roman"/>
          <w:sz w:val="28"/>
          <w:szCs w:val="28"/>
        </w:rPr>
        <w:t xml:space="preserve">all’art. 62, comma 18, statuisce che: </w:t>
      </w:r>
      <w:r>
        <w:rPr>
          <w:rFonts w:cs="Times New Roman"/>
          <w:i/>
          <w:sz w:val="28"/>
          <w:szCs w:val="28"/>
        </w:rPr>
        <w:t>“la progettazione, l’affidamento e l’esecuzione di contratti di partenariato pubblico-privato possono essere svolti da soggetti qualificati per i livelli di cui all’ articolo 63, comma 2, lettere b) e c)</w:t>
      </w:r>
      <w:r>
        <w:rPr>
          <w:rFonts w:cs="Times New Roman"/>
          <w:sz w:val="28"/>
          <w:szCs w:val="28"/>
        </w:rPr>
        <w:t>.”</w:t>
      </w:r>
    </w:p>
    <w:p w14:paraId="7EC5FF0A" w14:textId="77777777" w:rsidR="00F0329B" w:rsidRDefault="00206A24">
      <w:pPr>
        <w:pStyle w:val="Paragrafoelenco"/>
        <w:numPr>
          <w:ilvl w:val="0"/>
          <w:numId w:val="29"/>
        </w:numPr>
        <w:jc w:val="both"/>
        <w:rPr>
          <w:rFonts w:cs="Times New Roman"/>
        </w:rPr>
      </w:pPr>
      <w:r>
        <w:rPr>
          <w:rFonts w:cs="Times New Roman"/>
          <w:sz w:val="28"/>
          <w:szCs w:val="28"/>
        </w:rPr>
        <w:t xml:space="preserve">all’art. 3, comma 5, dell’allegato II.4 statuisce che: </w:t>
      </w:r>
      <w:r>
        <w:rPr>
          <w:rFonts w:cs="Times New Roman"/>
          <w:i/>
          <w:sz w:val="28"/>
          <w:szCs w:val="28"/>
        </w:rPr>
        <w:t xml:space="preserve">“ai fini dell’affidamento e dell’esecuzione dei contratti di concessione e di partenariato pubblico privato di qualsiasi importo le stazioni appaltanti devono possedere almeno una qualificazione </w:t>
      </w:r>
      <w:r>
        <w:rPr>
          <w:rFonts w:cs="Times New Roman"/>
          <w:i/>
          <w:sz w:val="28"/>
          <w:szCs w:val="28"/>
        </w:rPr>
        <w:lastRenderedPageBreak/>
        <w:t>di livello L2 e garantire la presenza di almeno un soggetto con esperienza di tre anni nella gestione di piani economici e finanziari e dei rischi”.</w:t>
      </w:r>
    </w:p>
    <w:p w14:paraId="0CD61C78" w14:textId="77777777" w:rsidR="00F0329B" w:rsidRDefault="00206A24">
      <w:pPr>
        <w:pStyle w:val="Paragrafoelenco"/>
        <w:numPr>
          <w:ilvl w:val="0"/>
          <w:numId w:val="29"/>
        </w:numPr>
        <w:jc w:val="both"/>
        <w:rPr>
          <w:rFonts w:cs="Times New Roman"/>
        </w:rPr>
      </w:pPr>
      <w:r>
        <w:rPr>
          <w:rFonts w:cs="Times New Roman"/>
          <w:sz w:val="28"/>
          <w:szCs w:val="28"/>
        </w:rPr>
        <w:t xml:space="preserve">All’art. 5 comma 5, dell’allegato II.4 statuisce che: </w:t>
      </w:r>
      <w:r>
        <w:rPr>
          <w:rFonts w:cs="Times New Roman"/>
          <w:i/>
          <w:sz w:val="28"/>
          <w:szCs w:val="28"/>
        </w:rPr>
        <w:t>“Ai fini dell’affidamento e dell’esecuzione dei contratti di concessione e di partenariato pubblico privato di qualsiasi importo, le stazioni appaltanti devono possedere almeno una qualificazione di livello SF2 e garantire la presenza di un soggetto con esperienza di tre anni nella gestione di piani economici e finanziari e dei rischi”</w:t>
      </w:r>
      <w:r>
        <w:rPr>
          <w:rFonts w:cs="Times New Roman"/>
          <w:sz w:val="28"/>
          <w:szCs w:val="28"/>
        </w:rPr>
        <w:t>.</w:t>
      </w:r>
    </w:p>
    <w:p w14:paraId="0D0EE88F" w14:textId="77777777" w:rsidR="00F0329B" w:rsidRDefault="00206A24">
      <w:pPr>
        <w:pStyle w:val="Paragrafoelenco"/>
        <w:numPr>
          <w:ilvl w:val="0"/>
          <w:numId w:val="29"/>
        </w:numPr>
        <w:jc w:val="both"/>
        <w:rPr>
          <w:rFonts w:cs="Times New Roman"/>
          <w:i/>
        </w:rPr>
      </w:pPr>
      <w:r>
        <w:rPr>
          <w:rFonts w:cs="Times New Roman"/>
          <w:sz w:val="28"/>
          <w:szCs w:val="28"/>
        </w:rPr>
        <w:t xml:space="preserve">all’art. 3, comma 1, lett. z), dell’allegato I.1 statuisce che si intende per attività di committenza ausiliaria: </w:t>
      </w:r>
      <w:r>
        <w:rPr>
          <w:rFonts w:cs="Times New Roman"/>
          <w:i/>
          <w:sz w:val="28"/>
          <w:szCs w:val="28"/>
        </w:rPr>
        <w:t>“le attività che consistono nella prestazione di supporto alle attività di committenza, in particolare nelle forme seguenti:</w:t>
      </w:r>
    </w:p>
    <w:p w14:paraId="0FFC7BEF" w14:textId="77777777" w:rsidR="00F0329B" w:rsidRDefault="00206A24">
      <w:pPr>
        <w:pStyle w:val="Paragrafoelenco"/>
        <w:numPr>
          <w:ilvl w:val="0"/>
          <w:numId w:val="3"/>
        </w:numPr>
        <w:jc w:val="both"/>
        <w:rPr>
          <w:rFonts w:cs="Times New Roman"/>
          <w:i/>
          <w:sz w:val="28"/>
          <w:szCs w:val="28"/>
        </w:rPr>
      </w:pPr>
      <w:r>
        <w:rPr>
          <w:rFonts w:cs="Times New Roman"/>
          <w:i/>
          <w:sz w:val="28"/>
          <w:szCs w:val="28"/>
        </w:rPr>
        <w:t>infrastrutture tecniche che consentano alle stazioni appaltanti di aggiudicare appalti pubblici o di concludere accordi quadro per lavori, forniture o servizi;</w:t>
      </w:r>
    </w:p>
    <w:p w14:paraId="642B4C53" w14:textId="77777777" w:rsidR="00F0329B" w:rsidRDefault="00206A24">
      <w:pPr>
        <w:pStyle w:val="Paragrafoelenco"/>
        <w:numPr>
          <w:ilvl w:val="0"/>
          <w:numId w:val="3"/>
        </w:numPr>
        <w:jc w:val="both"/>
        <w:rPr>
          <w:rFonts w:cs="Times New Roman"/>
          <w:i/>
          <w:sz w:val="28"/>
          <w:szCs w:val="28"/>
        </w:rPr>
      </w:pPr>
      <w:r>
        <w:rPr>
          <w:rFonts w:cs="Times New Roman"/>
          <w:i/>
          <w:sz w:val="28"/>
          <w:szCs w:val="28"/>
        </w:rPr>
        <w:t>consulenza sullo svolgimento o sulla progettazione delle procedure di appalto;</w:t>
      </w:r>
    </w:p>
    <w:p w14:paraId="6C1BF773" w14:textId="77777777" w:rsidR="00F0329B" w:rsidRDefault="00206A24">
      <w:pPr>
        <w:pStyle w:val="Paragrafoelenco"/>
        <w:numPr>
          <w:ilvl w:val="0"/>
          <w:numId w:val="3"/>
        </w:numPr>
        <w:jc w:val="both"/>
        <w:rPr>
          <w:rFonts w:cs="Times New Roman"/>
          <w:i/>
          <w:sz w:val="28"/>
          <w:szCs w:val="28"/>
        </w:rPr>
      </w:pPr>
      <w:r>
        <w:rPr>
          <w:rFonts w:cs="Times New Roman"/>
          <w:i/>
          <w:sz w:val="28"/>
          <w:szCs w:val="28"/>
        </w:rPr>
        <w:t>preparazione delle procedure di appalto in nome e per conto della stazione appaltante interessata;</w:t>
      </w:r>
    </w:p>
    <w:p w14:paraId="07F0D4D1" w14:textId="77777777" w:rsidR="00F0329B" w:rsidRDefault="00206A24">
      <w:pPr>
        <w:pStyle w:val="Paragrafoelenco"/>
        <w:numPr>
          <w:ilvl w:val="0"/>
          <w:numId w:val="3"/>
        </w:numPr>
        <w:jc w:val="both"/>
        <w:rPr>
          <w:rFonts w:cs="Times New Roman"/>
          <w:sz w:val="28"/>
          <w:szCs w:val="28"/>
        </w:rPr>
      </w:pPr>
      <w:r>
        <w:rPr>
          <w:rFonts w:cs="Times New Roman"/>
          <w:i/>
          <w:sz w:val="28"/>
          <w:szCs w:val="28"/>
        </w:rPr>
        <w:t>gestione delle procedure di appalto in nome e per conto della stazione appaltante interessata”;</w:t>
      </w:r>
    </w:p>
    <w:p w14:paraId="3D2107E7" w14:textId="77777777" w:rsidR="00F0329B" w:rsidRDefault="00206A24">
      <w:pPr>
        <w:pStyle w:val="Paragrafoelenco"/>
        <w:numPr>
          <w:ilvl w:val="0"/>
          <w:numId w:val="30"/>
        </w:numPr>
        <w:jc w:val="both"/>
        <w:rPr>
          <w:rFonts w:cs="Times New Roman"/>
          <w:i/>
          <w:sz w:val="28"/>
          <w:szCs w:val="28"/>
        </w:rPr>
      </w:pPr>
      <w:r>
        <w:rPr>
          <w:rFonts w:cs="Times New Roman"/>
          <w:sz w:val="28"/>
          <w:szCs w:val="28"/>
        </w:rPr>
        <w:t xml:space="preserve">all’articolo 63, comma 1, statuisce che: </w:t>
      </w:r>
      <w:r>
        <w:rPr>
          <w:rFonts w:cs="Times New Roman"/>
          <w:i/>
          <w:sz w:val="28"/>
          <w:szCs w:val="28"/>
        </w:rPr>
        <w:t>“fermo restando quanto stabilito dall’articolo 62, è istituito presso l’ANAC, che ne assicura la gestione e la pubblicità, un elenco delle stazioni appaltanti qualificate di cui fanno parte, in una specifica sezione, anche le centrali di committenza, ivi compresi i soggetti aggregatori. Ciascuna stazione appaltante o centrale di committenza che soddisfi i requisiti di cui all’allegato II.4 consegue la qualificazione ed è iscritta nell’elenco di cui al primo periodo.”</w:t>
      </w:r>
    </w:p>
    <w:p w14:paraId="373908AD" w14:textId="77777777" w:rsidR="00F0329B" w:rsidRDefault="00206A24">
      <w:pPr>
        <w:pStyle w:val="Paragrafoelenco"/>
        <w:numPr>
          <w:ilvl w:val="0"/>
          <w:numId w:val="30"/>
        </w:numPr>
        <w:jc w:val="both"/>
        <w:rPr>
          <w:rFonts w:cs="Times New Roman"/>
        </w:rPr>
      </w:pPr>
      <w:r>
        <w:rPr>
          <w:rFonts w:cs="Times New Roman"/>
          <w:sz w:val="28"/>
          <w:szCs w:val="28"/>
        </w:rPr>
        <w:t xml:space="preserve">all’articolo 63, comma 4, statuisce che: </w:t>
      </w:r>
      <w:r>
        <w:rPr>
          <w:rFonts w:cs="Times New Roman"/>
          <w:i/>
          <w:sz w:val="28"/>
          <w:szCs w:val="28"/>
        </w:rPr>
        <w:t>“sono iscritti di diritto nell’elenco di cui al comma 1 il Ministero delle infrastrutture e dei trasporti, compresi i Provveditorati interregionali per le opere pubbliche, Consip S.p.a., Invitalia -Agenzia nazionale per l’attrazione degli investimenti e lo sviluppo d’impresa S.p.a., Difesa servizi S.p.A., l’Agenzia del demanio, i soggetti aggregatori di cui all’articolo 9 del decreto-legge 24 aprile 2014, n. 66, convertito, con modificazioni, dalla legge 23 giugno 2014, n. 89, Sport e salute S.p.a. In sede di prima applicazione le stazioni appaltanti delle unioni di comuni, costituite nelle forme prevista dall’ordinamento, delle provincie e delle città metropolitane, dei comuni capoluogo di provincia e delle regioni sono iscritte con riserva nell’elenco di cui all’articolo 63, comma 1, primo periodo. Eventuali ulteriori iscrizioni di diritto possono essere disposte con decreto del Presidente del Consiglio dei ministri, sentita l’ANAC, previa intesa in sede della Conferenza unificata.”</w:t>
      </w:r>
    </w:p>
    <w:p w14:paraId="220EB3EF" w14:textId="77777777" w:rsidR="00F0329B" w:rsidRDefault="00206A24">
      <w:pPr>
        <w:pStyle w:val="Paragrafoelenco"/>
        <w:numPr>
          <w:ilvl w:val="0"/>
          <w:numId w:val="30"/>
        </w:numPr>
        <w:jc w:val="both"/>
        <w:rPr>
          <w:rFonts w:cs="Times New Roman"/>
        </w:rPr>
      </w:pPr>
      <w:r>
        <w:rPr>
          <w:rFonts w:cs="Times New Roman"/>
          <w:sz w:val="28"/>
          <w:szCs w:val="28"/>
        </w:rPr>
        <w:t xml:space="preserve">Che l’art. 1, comma 88, della Legge 7 aprile 2014 n. 56 recante </w:t>
      </w:r>
      <w:r>
        <w:rPr>
          <w:rFonts w:cs="Times New Roman"/>
          <w:i/>
          <w:sz w:val="28"/>
          <w:szCs w:val="28"/>
        </w:rPr>
        <w:t xml:space="preserve">“Disposizioni </w:t>
      </w:r>
      <w:bookmarkStart w:id="10" w:name="page36R_mcid41"/>
      <w:bookmarkEnd w:id="10"/>
      <w:r>
        <w:rPr>
          <w:rFonts w:cs="Times New Roman"/>
          <w:i/>
          <w:sz w:val="28"/>
          <w:szCs w:val="28"/>
        </w:rPr>
        <w:t>sulle città metropolitane, sulle province, sulle unioni e fusioni di comuni”</w:t>
      </w:r>
      <w:r>
        <w:rPr>
          <w:rFonts w:cs="Times New Roman"/>
          <w:sz w:val="28"/>
          <w:szCs w:val="28"/>
        </w:rPr>
        <w:t xml:space="preserve">, statuisce che: </w:t>
      </w:r>
      <w:r>
        <w:rPr>
          <w:rFonts w:cs="Times New Roman"/>
          <w:i/>
          <w:sz w:val="28"/>
          <w:szCs w:val="28"/>
        </w:rPr>
        <w:t>“La Provincia può, d’intesa con i Comuni, esercitare le funzioni di predisposizione dei documenti di gara, di stazione appaltante, di monitoraggio dei contratti di servizio e di organizzazione di concorsi e procedure selettive”;</w:t>
      </w:r>
    </w:p>
    <w:p w14:paraId="29199E8F" w14:textId="77777777" w:rsidR="00F0329B" w:rsidRDefault="00206A24">
      <w:pPr>
        <w:pStyle w:val="Paragrafoelenco"/>
        <w:numPr>
          <w:ilvl w:val="0"/>
          <w:numId w:val="30"/>
        </w:numPr>
        <w:jc w:val="both"/>
        <w:rPr>
          <w:rFonts w:cs="Times New Roman"/>
          <w:sz w:val="28"/>
          <w:szCs w:val="28"/>
        </w:rPr>
      </w:pPr>
      <w:r>
        <w:rPr>
          <w:rFonts w:cs="Times New Roman"/>
          <w:sz w:val="28"/>
          <w:szCs w:val="28"/>
        </w:rPr>
        <w:t xml:space="preserve">Che l’articolo 13 della legge 13 agosto 2010, n. 136, statuisce che: </w:t>
      </w:r>
      <w:r>
        <w:rPr>
          <w:rFonts w:cs="Times New Roman"/>
          <w:i/>
          <w:sz w:val="28"/>
          <w:szCs w:val="28"/>
        </w:rPr>
        <w:t xml:space="preserve">“con decreto del Presidente del Consiglio dei ministri, su proposta dei Ministri dell’interno, dello </w:t>
      </w:r>
      <w:r>
        <w:rPr>
          <w:rFonts w:cs="Times New Roman"/>
          <w:i/>
          <w:sz w:val="28"/>
          <w:szCs w:val="28"/>
        </w:rPr>
        <w:lastRenderedPageBreak/>
        <w:t>sviluppo economico, delle infrastrutture e dei trasporti, del lavoro e delle politiche sociali, per i rapporti con le regioni e per la pubblica amministrazione e l’innovazione, da adottare entro sei mesi dalla data di entrata in vigore della presente legge, sono definite, previa intesa in sede di Conferenza unificata di cui all’articolo 8 del decreto legislativo 28 agosto 1997, n. 281, e successive modificazioni, le modalità per promuovere l’istituzione, in ambito regionale, di una o più stazioni uniche appaltanti (SUA), al fine di assicurare la trasparenza, la regolarità e l’economicità della gestione dei contratti pubblici e di prevenire il rischio di infiltrazioni mafiose”;</w:t>
      </w:r>
    </w:p>
    <w:p w14:paraId="56E49968" w14:textId="77777777" w:rsidR="00F0329B" w:rsidRDefault="00206A24">
      <w:pPr>
        <w:pStyle w:val="Paragrafoelenco"/>
        <w:numPr>
          <w:ilvl w:val="0"/>
          <w:numId w:val="30"/>
        </w:numPr>
        <w:jc w:val="both"/>
        <w:rPr>
          <w:rFonts w:cs="Times New Roman"/>
          <w:sz w:val="28"/>
          <w:szCs w:val="28"/>
        </w:rPr>
      </w:pPr>
      <w:r>
        <w:rPr>
          <w:rFonts w:cs="Times New Roman"/>
          <w:sz w:val="28"/>
          <w:szCs w:val="28"/>
        </w:rPr>
        <w:t xml:space="preserve">Che il decreto del Presidente del </w:t>
      </w:r>
      <w:proofErr w:type="gramStart"/>
      <w:r>
        <w:rPr>
          <w:rFonts w:cs="Times New Roman"/>
          <w:sz w:val="28"/>
          <w:szCs w:val="28"/>
        </w:rPr>
        <w:t>Consiglio dei Ministri</w:t>
      </w:r>
      <w:proofErr w:type="gramEnd"/>
      <w:r>
        <w:rPr>
          <w:rFonts w:cs="Times New Roman"/>
          <w:sz w:val="28"/>
          <w:szCs w:val="28"/>
        </w:rPr>
        <w:t xml:space="preserve"> 30 giugno 2011, </w:t>
      </w:r>
      <w:r>
        <w:rPr>
          <w:rFonts w:cs="Times New Roman"/>
          <w:i/>
          <w:sz w:val="28"/>
          <w:szCs w:val="28"/>
        </w:rPr>
        <w:t xml:space="preserve">“Indizione Stazione Unica Appaltante, in attuazione dell’articolo 13 della legge 13 agosto 2010, n. 136 – Piano straordinario contro le mafie”, </w:t>
      </w:r>
      <w:r>
        <w:rPr>
          <w:rFonts w:cs="Times New Roman"/>
          <w:sz w:val="28"/>
          <w:szCs w:val="28"/>
        </w:rPr>
        <w:t>ha disciplinato le attività e i servizi che la S.U.A. è tenuta a svolgere ed individuato gli Elementi essenziali delle Convenzioni tra enti aderenti e Stazione unica appaltante;</w:t>
      </w:r>
    </w:p>
    <w:p w14:paraId="1ADE133C" w14:textId="77777777" w:rsidR="00F0329B" w:rsidRDefault="00206A24">
      <w:pPr>
        <w:pStyle w:val="Paragrafoelenco"/>
        <w:numPr>
          <w:ilvl w:val="0"/>
          <w:numId w:val="30"/>
        </w:numPr>
        <w:jc w:val="both"/>
        <w:rPr>
          <w:rFonts w:cs="Times New Roman"/>
          <w:sz w:val="28"/>
          <w:szCs w:val="28"/>
        </w:rPr>
      </w:pPr>
      <w:r>
        <w:rPr>
          <w:rFonts w:cs="Times New Roman"/>
          <w:sz w:val="28"/>
          <w:szCs w:val="28"/>
        </w:rPr>
        <w:t xml:space="preserve">Che l’art. 52 del </w:t>
      </w:r>
      <w:proofErr w:type="spellStart"/>
      <w:r>
        <w:rPr>
          <w:rFonts w:cs="Times New Roman"/>
          <w:sz w:val="28"/>
          <w:szCs w:val="28"/>
        </w:rPr>
        <w:t>d.l.</w:t>
      </w:r>
      <w:proofErr w:type="spellEnd"/>
      <w:r>
        <w:rPr>
          <w:rFonts w:cs="Times New Roman"/>
          <w:sz w:val="28"/>
          <w:szCs w:val="28"/>
        </w:rPr>
        <w:t xml:space="preserve"> 31 maggio 2021, n. 77 coordinato con la legge di conversione 29 luglio 2021, n. 108, recante</w:t>
      </w:r>
      <w:r>
        <w:rPr>
          <w:rFonts w:cs="Times New Roman"/>
          <w:i/>
          <w:sz w:val="28"/>
          <w:szCs w:val="28"/>
        </w:rPr>
        <w:t>: “Governance del Piano nazionale di ripresa e resilienza e prime misure di rafforzamento delle strutture amministrative e di accelerazione e snellimento delle procedure”</w:t>
      </w:r>
      <w:r>
        <w:rPr>
          <w:rFonts w:cs="Times New Roman"/>
          <w:sz w:val="28"/>
          <w:szCs w:val="28"/>
        </w:rPr>
        <w:t xml:space="preserve">, ha disposto che, per le procedure afferenti agli investimenti pubblici finanziati, in tutto o in parte, con le risorse previste dal Piano Nazionale di Ripresa e Resilienza (PNRR), nonché dalle risorse del Piano nazionale per gli investimenti complementari (PNC) di cui all’articolo 1 del decreto-legge 6 maggio 2021, n. 59, </w:t>
      </w:r>
      <w:r>
        <w:rPr>
          <w:rFonts w:cs="Times New Roman"/>
          <w:i/>
          <w:sz w:val="28"/>
          <w:szCs w:val="28"/>
        </w:rPr>
        <w:t>“i Comuni non capoluogo di provincia procedono all’acquisizione di forniture, servizi e lavori, oltre che secondo le modalità indicate dal citato articolo 37, comma 4, attraverso le unioni di comuni, le province, le città metropolitane e i comuni capoluogo di provincia”;</w:t>
      </w:r>
    </w:p>
    <w:p w14:paraId="5494A037" w14:textId="77777777" w:rsidR="00F0329B" w:rsidRDefault="00206A24">
      <w:pPr>
        <w:pStyle w:val="Paragrafoelenco"/>
        <w:numPr>
          <w:ilvl w:val="0"/>
          <w:numId w:val="4"/>
        </w:numPr>
        <w:jc w:val="both"/>
        <w:rPr>
          <w:rFonts w:cs="Times New Roman"/>
          <w:sz w:val="28"/>
          <w:szCs w:val="28"/>
        </w:rPr>
      </w:pPr>
      <w:r>
        <w:rPr>
          <w:rFonts w:cs="Times New Roman"/>
          <w:sz w:val="28"/>
          <w:szCs w:val="28"/>
        </w:rPr>
        <w:t xml:space="preserve">Che la Provincia di </w:t>
      </w:r>
      <w:r>
        <w:rPr>
          <w:rFonts w:cs="Times New Roman"/>
          <w:sz w:val="28"/>
          <w:szCs w:val="28"/>
          <w:highlight w:val="yellow"/>
        </w:rPr>
        <w:t>(nome della Provincia),</w:t>
      </w:r>
      <w:r>
        <w:rPr>
          <w:rFonts w:cs="Times New Roman"/>
          <w:sz w:val="28"/>
          <w:szCs w:val="28"/>
        </w:rPr>
        <w:t xml:space="preserve"> con specifico riferimento alle procedure finanziate in tutto o in parte con i già menzionati PNRR e PNC, supporta i Comuni non capoluogo di provincia e gli Enti della Provincia, per il tramite della propria stazione unica appaltante, al fine di assicurare che tali risorse vengano impiegate in modo efficace, trasparente e in tempi celeri;</w:t>
      </w:r>
    </w:p>
    <w:p w14:paraId="64D33964" w14:textId="77777777" w:rsidR="00F0329B" w:rsidRDefault="00206A24">
      <w:pPr>
        <w:pStyle w:val="Paragrafoelenco"/>
        <w:numPr>
          <w:ilvl w:val="0"/>
          <w:numId w:val="4"/>
        </w:numPr>
        <w:jc w:val="both"/>
        <w:rPr>
          <w:rFonts w:cs="Times New Roman"/>
          <w:sz w:val="28"/>
          <w:szCs w:val="28"/>
        </w:rPr>
      </w:pPr>
      <w:r>
        <w:rPr>
          <w:rFonts w:cs="Times New Roman"/>
          <w:sz w:val="28"/>
          <w:szCs w:val="28"/>
        </w:rPr>
        <w:t xml:space="preserve">Che la Provincia di </w:t>
      </w:r>
      <w:r>
        <w:rPr>
          <w:rFonts w:cs="Times New Roman"/>
          <w:sz w:val="28"/>
          <w:szCs w:val="28"/>
          <w:highlight w:val="yellow"/>
        </w:rPr>
        <w:t>(nome della Provincia)</w:t>
      </w:r>
      <w:r>
        <w:rPr>
          <w:rFonts w:cs="Times New Roman"/>
          <w:sz w:val="28"/>
          <w:szCs w:val="28"/>
        </w:rPr>
        <w:t xml:space="preserve"> ha istituito la Stazione Unica Appaltante provinciale, aperta all’adesione di tutti i Comuni e gli Enti della Provincia;</w:t>
      </w:r>
    </w:p>
    <w:p w14:paraId="164DA23F" w14:textId="77777777" w:rsidR="00F0329B" w:rsidRDefault="00206A24">
      <w:pPr>
        <w:pStyle w:val="Paragrafoelenco"/>
        <w:numPr>
          <w:ilvl w:val="0"/>
          <w:numId w:val="4"/>
        </w:numPr>
        <w:jc w:val="both"/>
        <w:rPr>
          <w:rFonts w:cs="Times New Roman"/>
          <w:sz w:val="28"/>
          <w:szCs w:val="28"/>
        </w:rPr>
      </w:pPr>
      <w:r>
        <w:rPr>
          <w:rFonts w:cs="Times New Roman"/>
          <w:sz w:val="28"/>
          <w:szCs w:val="28"/>
        </w:rPr>
        <w:t>Che la stessa potrà svolgere le procedure di gara richieste da Comuni ed Enti fuori dal territorio provinciale, nonché quelle assegnate d’ufficio da ANAC;</w:t>
      </w:r>
    </w:p>
    <w:p w14:paraId="3B561A76" w14:textId="77777777" w:rsidR="00F0329B" w:rsidRDefault="00206A24">
      <w:pPr>
        <w:pStyle w:val="Paragrafoelenco"/>
        <w:numPr>
          <w:ilvl w:val="0"/>
          <w:numId w:val="4"/>
        </w:numPr>
        <w:jc w:val="both"/>
        <w:rPr>
          <w:rFonts w:cs="Times New Roman"/>
          <w:sz w:val="28"/>
          <w:szCs w:val="28"/>
        </w:rPr>
      </w:pPr>
      <w:r>
        <w:rPr>
          <w:rFonts w:cs="Times New Roman"/>
          <w:sz w:val="28"/>
          <w:szCs w:val="28"/>
        </w:rPr>
        <w:t>Che l’art. 30, comma 1, del T.U.E.L., statuisce che: “</w:t>
      </w:r>
      <w:r>
        <w:rPr>
          <w:rFonts w:cs="Times New Roman"/>
          <w:i/>
          <w:sz w:val="28"/>
          <w:szCs w:val="28"/>
        </w:rPr>
        <w:t>al fine di svolgere in modo coordinato funzioni e servizi determinati, gli Enti locali possono stipulare tra loro ap</w:t>
      </w:r>
      <w:bookmarkStart w:id="11" w:name="page3R_mcid13"/>
      <w:bookmarkEnd w:id="11"/>
      <w:r>
        <w:rPr>
          <w:rFonts w:cs="Times New Roman"/>
          <w:i/>
          <w:sz w:val="28"/>
          <w:szCs w:val="28"/>
        </w:rPr>
        <w:t>posite convenzioni”;</w:t>
      </w:r>
    </w:p>
    <w:p w14:paraId="7141F6F5" w14:textId="77777777" w:rsidR="00F0329B" w:rsidRDefault="00F0329B">
      <w:pPr>
        <w:pStyle w:val="Paragrafoelenco"/>
        <w:ind w:left="360"/>
        <w:jc w:val="both"/>
        <w:rPr>
          <w:rFonts w:cs="Times New Roman"/>
          <w:sz w:val="28"/>
          <w:szCs w:val="28"/>
        </w:rPr>
      </w:pPr>
    </w:p>
    <w:p w14:paraId="5F2EC3BE" w14:textId="77777777" w:rsidR="00E021BF" w:rsidRDefault="00E021BF">
      <w:pPr>
        <w:pStyle w:val="Paragrafoelenco"/>
        <w:ind w:left="360"/>
        <w:jc w:val="both"/>
        <w:rPr>
          <w:rFonts w:cs="Times New Roman"/>
          <w:sz w:val="28"/>
          <w:szCs w:val="28"/>
        </w:rPr>
      </w:pPr>
    </w:p>
    <w:p w14:paraId="5A3E92A1" w14:textId="77777777" w:rsidR="00E021BF" w:rsidRDefault="00E021BF">
      <w:pPr>
        <w:pStyle w:val="Paragrafoelenco"/>
        <w:ind w:left="360"/>
        <w:jc w:val="both"/>
        <w:rPr>
          <w:rFonts w:cs="Times New Roman"/>
          <w:sz w:val="28"/>
          <w:szCs w:val="28"/>
        </w:rPr>
      </w:pPr>
    </w:p>
    <w:p w14:paraId="6FDF5890" w14:textId="77777777" w:rsidR="00E021BF" w:rsidRDefault="00E021BF">
      <w:pPr>
        <w:pStyle w:val="Paragrafoelenco"/>
        <w:ind w:left="360"/>
        <w:jc w:val="both"/>
        <w:rPr>
          <w:rFonts w:cs="Times New Roman"/>
          <w:sz w:val="28"/>
          <w:szCs w:val="28"/>
        </w:rPr>
      </w:pPr>
    </w:p>
    <w:p w14:paraId="0AAC09E5" w14:textId="77777777" w:rsidR="00F0329B" w:rsidRDefault="00206A24">
      <w:pPr>
        <w:pStyle w:val="Titolo1"/>
        <w:rPr>
          <w:rFonts w:ascii="Times New Roman" w:hAnsi="Times New Roman" w:cs="Times New Roman"/>
        </w:rPr>
      </w:pPr>
      <w:bookmarkStart w:id="12" w:name="undefined18"/>
      <w:bookmarkStart w:id="13" w:name="_Toc178327383"/>
      <w:bookmarkEnd w:id="12"/>
      <w:bookmarkEnd w:id="13"/>
      <w:r>
        <w:rPr>
          <w:rFonts w:ascii="Times New Roman" w:hAnsi="Times New Roman" w:cs="Times New Roman"/>
        </w:rPr>
        <w:t>SI CONVIENE E SI STIPULA QUANTO SEGUE</w:t>
      </w:r>
    </w:p>
    <w:p w14:paraId="05045775" w14:textId="77777777" w:rsidR="00F0329B" w:rsidRDefault="00F0329B">
      <w:pPr>
        <w:rPr>
          <w:rFonts w:cs="Times New Roman"/>
          <w:sz w:val="28"/>
          <w:szCs w:val="28"/>
        </w:rPr>
      </w:pPr>
    </w:p>
    <w:p w14:paraId="129BDF00" w14:textId="77777777" w:rsidR="00F0329B" w:rsidRDefault="00206A24">
      <w:pPr>
        <w:pStyle w:val="Titolo1"/>
        <w:rPr>
          <w:rFonts w:ascii="Times New Roman" w:hAnsi="Times New Roman" w:cs="Times New Roman"/>
        </w:rPr>
      </w:pPr>
      <w:bookmarkStart w:id="14" w:name="_Toc178327384"/>
      <w:bookmarkStart w:id="15" w:name="_Toc101427713"/>
      <w:bookmarkStart w:id="16" w:name="_Toc102362470"/>
      <w:bookmarkEnd w:id="14"/>
      <w:bookmarkEnd w:id="15"/>
      <w:bookmarkEnd w:id="16"/>
      <w:r>
        <w:rPr>
          <w:rFonts w:ascii="Times New Roman" w:hAnsi="Times New Roman" w:cs="Times New Roman"/>
        </w:rPr>
        <w:lastRenderedPageBreak/>
        <w:t>Art. 1 Ambito di operatività ed oggetto della Convenzione</w:t>
      </w:r>
    </w:p>
    <w:p w14:paraId="00C6BF06" w14:textId="77777777" w:rsidR="00F0329B" w:rsidRDefault="00206A24">
      <w:pPr>
        <w:pStyle w:val="Paragrafoelenco"/>
        <w:numPr>
          <w:ilvl w:val="0"/>
          <w:numId w:val="5"/>
        </w:numPr>
        <w:jc w:val="both"/>
        <w:rPr>
          <w:rFonts w:cs="Times New Roman"/>
          <w:sz w:val="28"/>
          <w:szCs w:val="28"/>
        </w:rPr>
      </w:pPr>
      <w:r>
        <w:rPr>
          <w:rFonts w:cs="Times New Roman"/>
          <w:sz w:val="28"/>
          <w:szCs w:val="28"/>
        </w:rPr>
        <w:t>La Stazione Unica Appaltante (di seguito “S.U.A.”) della Provincia di (</w:t>
      </w:r>
      <w:r>
        <w:rPr>
          <w:rFonts w:cs="Times New Roman"/>
          <w:sz w:val="28"/>
          <w:szCs w:val="28"/>
          <w:highlight w:val="yellow"/>
        </w:rPr>
        <w:t>nome della Provincia</w:t>
      </w:r>
      <w:r>
        <w:rPr>
          <w:rFonts w:cs="Times New Roman"/>
          <w:sz w:val="28"/>
          <w:szCs w:val="28"/>
        </w:rPr>
        <w:t>) (di seguito anche solo “Provincia”) opera come stazione unica appaltante relativamente all’affidamento di lavori, servizi e forniture ai sensi del combinato disposto dell’art. 63, commi 1 e 4, del d.lgs. 36/2023 e dell’art. 1, comma 88, della Legge 7 aprile 2014, n. 56, svolgendo, in favore degli Enti che vi abbiano aderito (di seguito “Enti aderenti”), le attività di committenza di cui alle premesse, come esplicitate nel presente articolo e in quelli seguenti.</w:t>
      </w:r>
    </w:p>
    <w:p w14:paraId="639AE93F" w14:textId="77777777" w:rsidR="00F0329B" w:rsidRDefault="00206A24">
      <w:pPr>
        <w:pStyle w:val="Paragrafoelenco"/>
        <w:numPr>
          <w:ilvl w:val="0"/>
          <w:numId w:val="5"/>
        </w:numPr>
        <w:jc w:val="both"/>
        <w:rPr>
          <w:rFonts w:cs="Times New Roman"/>
          <w:sz w:val="28"/>
          <w:szCs w:val="28"/>
        </w:rPr>
      </w:pPr>
      <w:r>
        <w:rPr>
          <w:rFonts w:cs="Times New Roman"/>
          <w:sz w:val="28"/>
          <w:szCs w:val="28"/>
        </w:rPr>
        <w:t>La presente Convenzione (di seguito “Convenzione”) disciplina i rapporti tra la S.U.A. e gli Enti aderenti, per lo svolgimento delle procedure di affidamento di contratti per l’acquisto di beni, servizi o lo svolgimento di lavori per importi pari o superiori al limite di importo per l’affidamento diretto o, per i soli lavori, superiori all’importo di cui all’art. 62, comma 1, del d.lgs. 36/2023.</w:t>
      </w:r>
    </w:p>
    <w:p w14:paraId="48F30C33" w14:textId="77777777" w:rsidR="00F0329B" w:rsidRDefault="00206A24">
      <w:pPr>
        <w:pStyle w:val="Paragrafoelenco"/>
        <w:numPr>
          <w:ilvl w:val="0"/>
          <w:numId w:val="5"/>
        </w:numPr>
        <w:jc w:val="both"/>
        <w:rPr>
          <w:rFonts w:cs="Times New Roman"/>
          <w:sz w:val="28"/>
          <w:szCs w:val="28"/>
        </w:rPr>
      </w:pPr>
      <w:r>
        <w:rPr>
          <w:rFonts w:cs="Times New Roman"/>
          <w:sz w:val="28"/>
          <w:szCs w:val="28"/>
        </w:rPr>
        <w:t>Fermo restando quanto indicato al precedente comma 2, la presente Convenzione non si applica agli affidamenti per i quali risulti obbligatorio, per l’Ente aderente, ricorrere agli strumenti elettronici di acquisto gestiti da Consip S.p.A. o ad altro soggetto aggregatore di riferimento.</w:t>
      </w:r>
    </w:p>
    <w:p w14:paraId="2F27DE90" w14:textId="77777777" w:rsidR="00F0329B" w:rsidRDefault="00206A24">
      <w:pPr>
        <w:pStyle w:val="Paragrafoelenco"/>
        <w:numPr>
          <w:ilvl w:val="0"/>
          <w:numId w:val="5"/>
        </w:numPr>
        <w:jc w:val="both"/>
        <w:rPr>
          <w:rFonts w:cs="Times New Roman"/>
          <w:sz w:val="28"/>
          <w:szCs w:val="28"/>
        </w:rPr>
      </w:pPr>
      <w:r>
        <w:rPr>
          <w:rFonts w:cs="Times New Roman"/>
          <w:sz w:val="28"/>
          <w:szCs w:val="28"/>
        </w:rPr>
        <w:t>Nelle ipotesi di cui ai precedenti commi 1 e 2, resta possibile per l’Ente aderente richiedere il supporto della S.U.A. nello svolgimento di tali procedure, che si riserva di accogliere o meno la richiesta in base alla programmazione annuale degli acquisti e/o ai carichi di lavoro. Nel caso di accoglimento il supporto consisterà nello svolgimento delle attività specificate all’art. 8, lettera n).</w:t>
      </w:r>
    </w:p>
    <w:p w14:paraId="27921294" w14:textId="77777777" w:rsidR="00F0329B" w:rsidRDefault="00206A24">
      <w:pPr>
        <w:pStyle w:val="Paragrafoelenco"/>
        <w:numPr>
          <w:ilvl w:val="0"/>
          <w:numId w:val="5"/>
        </w:numPr>
        <w:jc w:val="both"/>
        <w:rPr>
          <w:rFonts w:cs="Times New Roman"/>
          <w:sz w:val="28"/>
          <w:szCs w:val="28"/>
        </w:rPr>
      </w:pPr>
      <w:r>
        <w:rPr>
          <w:rFonts w:cs="Times New Roman"/>
          <w:sz w:val="28"/>
          <w:szCs w:val="28"/>
        </w:rPr>
        <w:t>In caso di servizi o forniture di particolare complessità o in caso di esigenze comuni a più Enti aderenti la S.U.A. potrà svolgere la procedura di affidamento su delega, anche per più Enti aderenti mediante suddivisione in lotti.</w:t>
      </w:r>
    </w:p>
    <w:p w14:paraId="00B97ACC" w14:textId="77777777" w:rsidR="00F0329B" w:rsidRDefault="00206A24">
      <w:pPr>
        <w:pStyle w:val="Paragrafoelenco"/>
        <w:numPr>
          <w:ilvl w:val="0"/>
          <w:numId w:val="5"/>
        </w:numPr>
        <w:jc w:val="both"/>
        <w:rPr>
          <w:rFonts w:cs="Times New Roman"/>
          <w:sz w:val="28"/>
          <w:szCs w:val="28"/>
        </w:rPr>
      </w:pPr>
      <w:r>
        <w:rPr>
          <w:rFonts w:cs="Times New Roman"/>
          <w:sz w:val="28"/>
          <w:szCs w:val="28"/>
        </w:rPr>
        <w:t>Per quanto riguarda i contratti di concessione e di partenariato pubblico privato gli Enti aderenti possono avvalersi della S.U.A. se in possesso della qualificazione di cui all’art. 3, comma 5, e all’art. 5, comma 5, dell’allegato II.4 al d.lgs. 36/2023.</w:t>
      </w:r>
    </w:p>
    <w:p w14:paraId="66A8841A" w14:textId="77777777" w:rsidR="00F0329B" w:rsidRDefault="00206A24">
      <w:pPr>
        <w:pStyle w:val="Paragrafoelenco"/>
        <w:numPr>
          <w:ilvl w:val="0"/>
          <w:numId w:val="5"/>
        </w:numPr>
        <w:jc w:val="both"/>
        <w:rPr>
          <w:rFonts w:cs="Times New Roman"/>
          <w:sz w:val="28"/>
          <w:szCs w:val="28"/>
        </w:rPr>
      </w:pPr>
      <w:r>
        <w:rPr>
          <w:rFonts w:cs="Times New Roman"/>
          <w:sz w:val="28"/>
          <w:szCs w:val="28"/>
        </w:rPr>
        <w:t>Alla seguente Convenzione possono aderire gli Enti individuati nelle premesse.</w:t>
      </w:r>
    </w:p>
    <w:p w14:paraId="69E0C8CA" w14:textId="77777777" w:rsidR="00F0329B" w:rsidRDefault="00F0329B">
      <w:pPr>
        <w:rPr>
          <w:rFonts w:cs="Times New Roman"/>
          <w:b/>
          <w:bCs/>
          <w:sz w:val="28"/>
          <w:szCs w:val="28"/>
          <w:highlight w:val="yellow"/>
        </w:rPr>
      </w:pPr>
    </w:p>
    <w:p w14:paraId="6F83CF89" w14:textId="77777777" w:rsidR="00F0329B" w:rsidRDefault="00206A24">
      <w:pPr>
        <w:pStyle w:val="Titolo1"/>
        <w:rPr>
          <w:rFonts w:ascii="Times New Roman" w:hAnsi="Times New Roman" w:cs="Times New Roman"/>
        </w:rPr>
      </w:pPr>
      <w:bookmarkStart w:id="17" w:name="_Toc178327385"/>
      <w:bookmarkStart w:id="18" w:name="_Toc101427714"/>
      <w:bookmarkStart w:id="19" w:name="_Toc102362471"/>
      <w:bookmarkEnd w:id="17"/>
      <w:bookmarkEnd w:id="18"/>
      <w:bookmarkEnd w:id="19"/>
      <w:r>
        <w:rPr>
          <w:rFonts w:ascii="Times New Roman" w:hAnsi="Times New Roman" w:cs="Times New Roman"/>
        </w:rPr>
        <w:t>Art. 2 Principi generali</w:t>
      </w:r>
    </w:p>
    <w:p w14:paraId="2EBDB906" w14:textId="77777777" w:rsidR="00F0329B" w:rsidRDefault="00206A24">
      <w:pPr>
        <w:pStyle w:val="Paragrafoelenco"/>
        <w:numPr>
          <w:ilvl w:val="0"/>
          <w:numId w:val="6"/>
        </w:numPr>
        <w:jc w:val="both"/>
        <w:rPr>
          <w:rFonts w:cs="Times New Roman"/>
        </w:rPr>
      </w:pPr>
      <w:r>
        <w:rPr>
          <w:rFonts w:cs="Times New Roman"/>
          <w:sz w:val="28"/>
          <w:szCs w:val="28"/>
        </w:rPr>
        <w:t>L’esecuzione della Convenzione e lo svolgimento delle attività ivi disciplinate si conformano ai principi generali dell’azione amministrativa e, in particolare, ai principi di buon andamento, imparzialità, efficacia, efficienza ed economicità.</w:t>
      </w:r>
    </w:p>
    <w:p w14:paraId="3F6FF791" w14:textId="77777777" w:rsidR="00F0329B" w:rsidRDefault="00F0329B">
      <w:pPr>
        <w:rPr>
          <w:rFonts w:cs="Times New Roman"/>
          <w:sz w:val="28"/>
          <w:szCs w:val="28"/>
        </w:rPr>
      </w:pPr>
    </w:p>
    <w:p w14:paraId="45794E17" w14:textId="77777777" w:rsidR="00F0329B" w:rsidRDefault="00206A24">
      <w:pPr>
        <w:pStyle w:val="Titolo1"/>
        <w:rPr>
          <w:rFonts w:ascii="Times New Roman" w:hAnsi="Times New Roman" w:cs="Times New Roman"/>
        </w:rPr>
      </w:pPr>
      <w:bookmarkStart w:id="20" w:name="_Toc178327386"/>
      <w:bookmarkStart w:id="21" w:name="_Toc101427715"/>
      <w:bookmarkStart w:id="22" w:name="_Toc102362472"/>
      <w:bookmarkStart w:id="23" w:name="page66R_mcid92"/>
      <w:bookmarkEnd w:id="20"/>
      <w:bookmarkEnd w:id="21"/>
      <w:bookmarkEnd w:id="22"/>
      <w:bookmarkEnd w:id="23"/>
      <w:r>
        <w:rPr>
          <w:rFonts w:ascii="Times New Roman" w:hAnsi="Times New Roman" w:cs="Times New Roman"/>
        </w:rPr>
        <w:t>Art. 3 Decorrenza e durata della convenzione</w:t>
      </w:r>
    </w:p>
    <w:p w14:paraId="59B5AF15" w14:textId="0DDB072C" w:rsidR="00F0329B" w:rsidRDefault="00206A24">
      <w:pPr>
        <w:pStyle w:val="Paragrafoelenco"/>
        <w:numPr>
          <w:ilvl w:val="0"/>
          <w:numId w:val="7"/>
        </w:numPr>
        <w:jc w:val="both"/>
        <w:rPr>
          <w:rFonts w:cs="Times New Roman"/>
        </w:rPr>
      </w:pPr>
      <w:bookmarkStart w:id="24" w:name="_Hlk182217722"/>
      <w:r>
        <w:rPr>
          <w:rFonts w:cs="Times New Roman"/>
          <w:sz w:val="28"/>
          <w:szCs w:val="28"/>
        </w:rPr>
        <w:t>La presente convenzione decorre dalla data dell’ultima sottoscrizione, ha durata di</w:t>
      </w:r>
      <w:r w:rsidR="00E021BF">
        <w:rPr>
          <w:rFonts w:cs="Times New Roman"/>
          <w:sz w:val="28"/>
          <w:szCs w:val="28"/>
        </w:rPr>
        <w:t xml:space="preserve"> </w:t>
      </w:r>
      <w:r w:rsidR="00E021BF" w:rsidRPr="00E021BF">
        <w:rPr>
          <w:rFonts w:cs="Times New Roman"/>
          <w:b/>
          <w:bCs/>
          <w:sz w:val="28"/>
          <w:szCs w:val="28"/>
          <w:highlight w:val="yellow"/>
        </w:rPr>
        <w:t>………….</w:t>
      </w:r>
      <w:r w:rsidR="00E021BF">
        <w:rPr>
          <w:rFonts w:cs="Times New Roman"/>
          <w:b/>
          <w:bCs/>
          <w:sz w:val="28"/>
          <w:szCs w:val="28"/>
        </w:rPr>
        <w:t xml:space="preserve"> </w:t>
      </w:r>
      <w:r>
        <w:rPr>
          <w:rFonts w:cs="Times New Roman"/>
          <w:sz w:val="28"/>
          <w:szCs w:val="28"/>
        </w:rPr>
        <w:t>anni, ed è rinnovabile, con il consenso di entrambe le parti</w:t>
      </w:r>
      <w:bookmarkEnd w:id="24"/>
      <w:r>
        <w:rPr>
          <w:rFonts w:cs="Times New Roman"/>
          <w:sz w:val="28"/>
          <w:szCs w:val="28"/>
        </w:rPr>
        <w:t>.</w:t>
      </w:r>
      <w:r w:rsidR="00E021BF">
        <w:rPr>
          <w:rStyle w:val="Rimandonotaapidipagina"/>
          <w:rFonts w:cs="Times New Roman"/>
          <w:sz w:val="28"/>
          <w:szCs w:val="28"/>
        </w:rPr>
        <w:footnoteReference w:id="1"/>
      </w:r>
    </w:p>
    <w:p w14:paraId="2A0A9398" w14:textId="77777777" w:rsidR="00F0329B" w:rsidRDefault="00F0329B">
      <w:pPr>
        <w:rPr>
          <w:rFonts w:cs="Times New Roman"/>
          <w:sz w:val="28"/>
          <w:szCs w:val="28"/>
        </w:rPr>
      </w:pPr>
    </w:p>
    <w:p w14:paraId="72CCF553" w14:textId="77777777" w:rsidR="00F0329B" w:rsidRDefault="00206A24">
      <w:pPr>
        <w:pStyle w:val="Titolo1"/>
        <w:rPr>
          <w:rFonts w:ascii="Times New Roman" w:hAnsi="Times New Roman" w:cs="Times New Roman"/>
        </w:rPr>
      </w:pPr>
      <w:bookmarkStart w:id="25" w:name="_Toc178327387"/>
      <w:bookmarkStart w:id="26" w:name="_Toc101427716"/>
      <w:bookmarkStart w:id="27" w:name="_Toc102362473"/>
      <w:bookmarkEnd w:id="25"/>
      <w:bookmarkEnd w:id="26"/>
      <w:bookmarkEnd w:id="27"/>
      <w:r>
        <w:rPr>
          <w:rFonts w:ascii="Times New Roman" w:hAnsi="Times New Roman" w:cs="Times New Roman"/>
        </w:rPr>
        <w:lastRenderedPageBreak/>
        <w:t>Art. 4 Organizzazione e dotazione strumentale della S.U.A.</w:t>
      </w:r>
    </w:p>
    <w:p w14:paraId="3BEC5974" w14:textId="5200B211" w:rsidR="00F0329B" w:rsidRDefault="00206A24">
      <w:pPr>
        <w:pStyle w:val="Paragrafoelenco"/>
        <w:numPr>
          <w:ilvl w:val="0"/>
          <w:numId w:val="8"/>
        </w:numPr>
        <w:jc w:val="both"/>
      </w:pPr>
      <w:bookmarkStart w:id="28" w:name="__DdeLink__1294_4292945026"/>
      <w:r>
        <w:rPr>
          <w:rFonts w:cs="Times New Roman"/>
          <w:sz w:val="28"/>
          <w:szCs w:val="28"/>
        </w:rPr>
        <w:t xml:space="preserve">La S.U.A. opera presso gli </w:t>
      </w:r>
      <w:r w:rsidRPr="00206A24">
        <w:rPr>
          <w:rFonts w:cs="Times New Roman"/>
          <w:sz w:val="28"/>
          <w:szCs w:val="28"/>
        </w:rPr>
        <w:t>uffici _____________________________</w:t>
      </w:r>
      <w:r w:rsidRPr="00206A24">
        <w:rPr>
          <w:rFonts w:cs="Times New Roman"/>
          <w:strike/>
          <w:sz w:val="28"/>
          <w:szCs w:val="28"/>
        </w:rPr>
        <w:t xml:space="preserve"> </w:t>
      </w:r>
      <w:bookmarkEnd w:id="28"/>
      <w:r>
        <w:rPr>
          <w:rFonts w:cs="Times New Roman"/>
          <w:sz w:val="28"/>
          <w:szCs w:val="28"/>
        </w:rPr>
        <w:t>(</w:t>
      </w:r>
      <w:r>
        <w:rPr>
          <w:rFonts w:cs="Times New Roman"/>
          <w:sz w:val="28"/>
          <w:szCs w:val="28"/>
          <w:highlight w:val="yellow"/>
        </w:rPr>
        <w:t xml:space="preserve">nome dell’ufficio) </w:t>
      </w:r>
      <w:r>
        <w:rPr>
          <w:rFonts w:cs="Times New Roman"/>
          <w:sz w:val="28"/>
          <w:szCs w:val="28"/>
        </w:rPr>
        <w:t>della Provincia di (</w:t>
      </w:r>
      <w:r>
        <w:rPr>
          <w:rFonts w:cs="Times New Roman"/>
          <w:sz w:val="28"/>
          <w:szCs w:val="28"/>
          <w:highlight w:val="yellow"/>
        </w:rPr>
        <w:t>nome della Provincia</w:t>
      </w:r>
      <w:r>
        <w:rPr>
          <w:rFonts w:cs="Times New Roman"/>
          <w:sz w:val="28"/>
          <w:szCs w:val="28"/>
        </w:rPr>
        <w:t>).</w:t>
      </w:r>
    </w:p>
    <w:p w14:paraId="75308AFC" w14:textId="77777777" w:rsidR="00F0329B" w:rsidRDefault="00206A24">
      <w:pPr>
        <w:pStyle w:val="Paragrafoelenco"/>
        <w:numPr>
          <w:ilvl w:val="0"/>
          <w:numId w:val="8"/>
        </w:numPr>
        <w:jc w:val="both"/>
        <w:rPr>
          <w:rFonts w:cs="Times New Roman"/>
          <w:sz w:val="28"/>
          <w:szCs w:val="28"/>
        </w:rPr>
      </w:pPr>
      <w:r>
        <w:rPr>
          <w:rFonts w:cs="Times New Roman"/>
          <w:sz w:val="28"/>
          <w:szCs w:val="28"/>
        </w:rPr>
        <w:t>La Provincia mette a disposizione della S.U.A. le attrezzature e i sistemi informatici necessari per lo svolgimento delle attività di competenza.</w:t>
      </w:r>
    </w:p>
    <w:p w14:paraId="6250C933" w14:textId="77777777" w:rsidR="00F0329B" w:rsidRDefault="00206A24">
      <w:pPr>
        <w:pStyle w:val="Paragrafoelenco"/>
        <w:numPr>
          <w:ilvl w:val="0"/>
          <w:numId w:val="8"/>
        </w:numPr>
        <w:jc w:val="both"/>
        <w:rPr>
          <w:rFonts w:cs="Times New Roman"/>
        </w:rPr>
      </w:pPr>
      <w:r>
        <w:rPr>
          <w:rFonts w:cs="Times New Roman"/>
          <w:sz w:val="28"/>
          <w:szCs w:val="28"/>
        </w:rPr>
        <w:t>In particolare, per lo svolgimento delle proprie attività, la S.U.A. dispone di una piattaforma telematica di e procurement e di un portale per le comunicazioni con gli Enti convenzionati.</w:t>
      </w:r>
    </w:p>
    <w:p w14:paraId="504399D8" w14:textId="77777777" w:rsidR="00F0329B" w:rsidRDefault="00F0329B">
      <w:pPr>
        <w:rPr>
          <w:rFonts w:cs="Times New Roman"/>
          <w:sz w:val="28"/>
          <w:szCs w:val="28"/>
        </w:rPr>
      </w:pPr>
      <w:bookmarkStart w:id="29" w:name="_Hlk101409001"/>
      <w:bookmarkEnd w:id="29"/>
    </w:p>
    <w:p w14:paraId="4C71D806" w14:textId="77777777" w:rsidR="00F0329B" w:rsidRDefault="00206A24">
      <w:pPr>
        <w:pStyle w:val="Titolo1"/>
        <w:rPr>
          <w:rFonts w:ascii="Times New Roman" w:hAnsi="Times New Roman" w:cs="Times New Roman"/>
        </w:rPr>
      </w:pPr>
      <w:bookmarkStart w:id="30" w:name="_Toc178327388"/>
      <w:bookmarkStart w:id="31" w:name="_Toc102362474"/>
      <w:bookmarkEnd w:id="30"/>
      <w:bookmarkEnd w:id="31"/>
      <w:r>
        <w:rPr>
          <w:rFonts w:ascii="Times New Roman" w:hAnsi="Times New Roman" w:cs="Times New Roman"/>
        </w:rPr>
        <w:t>Art. 5 Nomina dei soggetti Responsabili e relative comunicazioni</w:t>
      </w:r>
    </w:p>
    <w:p w14:paraId="46792EE1" w14:textId="77777777" w:rsidR="00F0329B" w:rsidRDefault="00206A24">
      <w:pPr>
        <w:pStyle w:val="Paragrafoelenco"/>
        <w:numPr>
          <w:ilvl w:val="0"/>
          <w:numId w:val="9"/>
        </w:numPr>
        <w:jc w:val="both"/>
        <w:rPr>
          <w:rFonts w:cs="Times New Roman"/>
          <w:sz w:val="28"/>
          <w:szCs w:val="28"/>
        </w:rPr>
      </w:pPr>
      <w:r>
        <w:rPr>
          <w:rFonts w:cs="Times New Roman"/>
          <w:sz w:val="28"/>
          <w:szCs w:val="28"/>
        </w:rPr>
        <w:t>Per ciascun affidamento svolto in applicazione della presente Convenzione:</w:t>
      </w:r>
    </w:p>
    <w:p w14:paraId="32083944" w14:textId="77777777" w:rsidR="00F0329B" w:rsidRPr="00206A24" w:rsidRDefault="00206A24" w:rsidP="00206A24">
      <w:pPr>
        <w:pStyle w:val="Paragrafoelenco"/>
        <w:numPr>
          <w:ilvl w:val="1"/>
          <w:numId w:val="33"/>
        </w:numPr>
        <w:ind w:left="851"/>
        <w:jc w:val="both"/>
        <w:rPr>
          <w:rFonts w:cs="Times New Roman"/>
        </w:rPr>
      </w:pPr>
      <w:r w:rsidRPr="00206A24">
        <w:rPr>
          <w:rFonts w:cs="Times New Roman"/>
          <w:sz w:val="28"/>
          <w:szCs w:val="28"/>
        </w:rPr>
        <w:t>l’Ente aderente nomina il Responsabile Unico del Progetto (RUP), che svolge le funzioni di cui all’articolo 15 del d.lgs. 36/2023 relativamente alle fasi di programmazione, progettazione, affidamento ed esecuzione del lavoro pubblico e del servizio e della fornitura, che non siano specificatamente attribuite ad altri soggetti;</w:t>
      </w:r>
    </w:p>
    <w:p w14:paraId="0089C325" w14:textId="77777777" w:rsidR="00F0329B" w:rsidRPr="00206A24" w:rsidRDefault="00206A24" w:rsidP="00206A24">
      <w:pPr>
        <w:pStyle w:val="Paragrafoelenco"/>
        <w:numPr>
          <w:ilvl w:val="1"/>
          <w:numId w:val="33"/>
        </w:numPr>
        <w:ind w:left="851"/>
        <w:jc w:val="both"/>
        <w:rPr>
          <w:rFonts w:cs="Times New Roman"/>
        </w:rPr>
      </w:pPr>
      <w:r w:rsidRPr="00206A24">
        <w:rPr>
          <w:rFonts w:cs="Times New Roman"/>
          <w:sz w:val="28"/>
          <w:szCs w:val="28"/>
        </w:rPr>
        <w:t>in caso di gara su delega, anche svolta per più Enti aderenti mediante suddivisione in lotti, la S.U.A. nomina il Responsabile del Procedimento (RP), che svolge le funzioni di cui all’articolo 6 della l. 241/1990, relativamente alla fase di gestione della procedura di gara, assicurando il corretto svolgimento delle attività di competenza della S.U.A., come previste nella presente Convenzione;</w:t>
      </w:r>
    </w:p>
    <w:p w14:paraId="401002F6" w14:textId="77777777" w:rsidR="00F0329B" w:rsidRPr="00206A24" w:rsidRDefault="00206A24" w:rsidP="00206A24">
      <w:pPr>
        <w:pStyle w:val="Paragrafoelenco"/>
        <w:numPr>
          <w:ilvl w:val="1"/>
          <w:numId w:val="33"/>
        </w:numPr>
        <w:ind w:left="851"/>
        <w:jc w:val="both"/>
        <w:rPr>
          <w:rFonts w:cs="Times New Roman"/>
        </w:rPr>
      </w:pPr>
      <w:r w:rsidRPr="00206A24">
        <w:rPr>
          <w:rFonts w:cs="Times New Roman"/>
          <w:sz w:val="28"/>
          <w:szCs w:val="28"/>
        </w:rPr>
        <w:t>in caso di gara aggregata, la S.U.A. nomina il Responsabile Unico del Progetto (RUP), che svolge le funzioni di cui all’articolo 15 del d.lgs. 36/2023 relativamente alle fasi e alle attività direttamente imputabili alla Stazione Unica Appaltante come previsto all’articolo 62 del d.lgs. 36/2023.</w:t>
      </w:r>
    </w:p>
    <w:p w14:paraId="414E6AC4" w14:textId="77777777" w:rsidR="00F0329B" w:rsidRDefault="00206A24">
      <w:pPr>
        <w:pStyle w:val="Paragrafoelenco"/>
        <w:numPr>
          <w:ilvl w:val="0"/>
          <w:numId w:val="9"/>
        </w:numPr>
        <w:jc w:val="both"/>
        <w:rPr>
          <w:rFonts w:cs="Times New Roman"/>
        </w:rPr>
      </w:pPr>
      <w:r>
        <w:rPr>
          <w:rFonts w:cs="Times New Roman"/>
          <w:sz w:val="28"/>
          <w:szCs w:val="28"/>
        </w:rPr>
        <w:t>Il RUP e l’RP coordinano le proprie attività e comunicano esclusivamente utilizzando il Portale messo a disposizione dalla S.U.A.</w:t>
      </w:r>
    </w:p>
    <w:p w14:paraId="7862A682" w14:textId="77777777" w:rsidR="00F0329B" w:rsidRDefault="00F0329B">
      <w:pPr>
        <w:rPr>
          <w:rFonts w:cs="Times New Roman"/>
          <w:sz w:val="28"/>
          <w:szCs w:val="28"/>
        </w:rPr>
      </w:pPr>
    </w:p>
    <w:p w14:paraId="7B9ACA1A" w14:textId="77777777" w:rsidR="00F0329B" w:rsidRDefault="00206A24">
      <w:pPr>
        <w:pStyle w:val="Titolo1"/>
        <w:rPr>
          <w:rFonts w:ascii="Times New Roman" w:hAnsi="Times New Roman" w:cs="Times New Roman"/>
        </w:rPr>
      </w:pPr>
      <w:bookmarkStart w:id="32" w:name="_Toc178327389"/>
      <w:bookmarkStart w:id="33" w:name="_Toc101427718"/>
      <w:bookmarkStart w:id="34" w:name="_Toc102362475"/>
      <w:bookmarkEnd w:id="32"/>
      <w:bookmarkEnd w:id="33"/>
      <w:bookmarkEnd w:id="34"/>
      <w:r>
        <w:rPr>
          <w:rFonts w:ascii="Times New Roman" w:hAnsi="Times New Roman" w:cs="Times New Roman"/>
        </w:rPr>
        <w:t>Art. 6 Raccolta dei fabbisogni e programmazione degli affidamenti.</w:t>
      </w:r>
    </w:p>
    <w:p w14:paraId="7C483177" w14:textId="43C45A70" w:rsidR="00F0329B" w:rsidRDefault="00206A24">
      <w:pPr>
        <w:pStyle w:val="Paragrafoelenco"/>
        <w:numPr>
          <w:ilvl w:val="0"/>
          <w:numId w:val="11"/>
        </w:numPr>
        <w:jc w:val="both"/>
        <w:rPr>
          <w:rFonts w:cs="Times New Roman"/>
          <w:sz w:val="28"/>
          <w:szCs w:val="28"/>
        </w:rPr>
      </w:pPr>
      <w:r>
        <w:rPr>
          <w:rFonts w:cs="Times New Roman"/>
          <w:sz w:val="28"/>
          <w:szCs w:val="28"/>
        </w:rPr>
        <w:t xml:space="preserve">Per consentire alla S.U.A. di programmare le proprie attività e individuare possibili meccanismi di razionalizzazione degli acquisti, l’Ente convenzionato trasmette alla S.U.A., utilizzando esclusivamente lo strumento di cui all’articolo 5, comma 2, l’elenco degli affidamenti che intende effettuare tramite la S.U.A. nell’arco del triennio successivo, entro il </w:t>
      </w:r>
      <w:r w:rsidR="00E021BF" w:rsidRPr="00E021BF">
        <w:rPr>
          <w:rFonts w:cs="Times New Roman"/>
          <w:b/>
          <w:bCs/>
          <w:sz w:val="28"/>
          <w:szCs w:val="28"/>
          <w:highlight w:val="yellow"/>
        </w:rPr>
        <w:t>………….</w:t>
      </w:r>
      <w:r>
        <w:rPr>
          <w:rFonts w:cs="Times New Roman"/>
          <w:sz w:val="28"/>
          <w:szCs w:val="28"/>
        </w:rPr>
        <w:t xml:space="preserve"> di ogni anno, corredato da tutte le informazioni necessarie per la corretta predisposizione degli atti di gara, inclusa l’indicazione di eventuali scadenze temporali per l’avvio o la conclusione delle procedure, anche derivanti dalle condizioni poste da eventuali finanziamenti ottenuti. Resta inteso che per gli affidamenti di lavori la già menzionata calendarizzazione è facoltativa.</w:t>
      </w:r>
    </w:p>
    <w:p w14:paraId="789EA354" w14:textId="5ECE5546" w:rsidR="00F0329B" w:rsidRDefault="00206A24">
      <w:pPr>
        <w:pStyle w:val="Paragrafoelenco"/>
        <w:numPr>
          <w:ilvl w:val="0"/>
          <w:numId w:val="11"/>
        </w:numPr>
        <w:jc w:val="both"/>
        <w:rPr>
          <w:rFonts w:cs="Times New Roman"/>
          <w:sz w:val="28"/>
          <w:szCs w:val="28"/>
        </w:rPr>
      </w:pPr>
      <w:r>
        <w:rPr>
          <w:rFonts w:cs="Times New Roman"/>
          <w:sz w:val="28"/>
          <w:szCs w:val="28"/>
        </w:rPr>
        <w:lastRenderedPageBreak/>
        <w:t xml:space="preserve">Sulla base dei fabbisogni ricevuti, la S.U.A. definisce entro il </w:t>
      </w:r>
      <w:r w:rsidR="00E021BF" w:rsidRPr="00E021BF">
        <w:rPr>
          <w:rFonts w:cs="Times New Roman"/>
          <w:b/>
          <w:bCs/>
          <w:sz w:val="28"/>
          <w:szCs w:val="28"/>
          <w:highlight w:val="yellow"/>
        </w:rPr>
        <w:t>………….</w:t>
      </w:r>
      <w:r w:rsidR="00E021BF">
        <w:rPr>
          <w:rFonts w:cs="Times New Roman"/>
          <w:b/>
          <w:bCs/>
          <w:sz w:val="28"/>
          <w:szCs w:val="28"/>
        </w:rPr>
        <w:t xml:space="preserve"> </w:t>
      </w:r>
      <w:r>
        <w:rPr>
          <w:rFonts w:cs="Times New Roman"/>
          <w:sz w:val="28"/>
          <w:szCs w:val="28"/>
        </w:rPr>
        <w:t>di ogni anno l’elenco delle procedure che saranno svolte nell’arco del triennio, all’interno del quale sono indicate:</w:t>
      </w:r>
    </w:p>
    <w:p w14:paraId="78ECCC84" w14:textId="77777777" w:rsidR="00F0329B" w:rsidRDefault="00206A24">
      <w:pPr>
        <w:pStyle w:val="Paragrafoelenco"/>
        <w:numPr>
          <w:ilvl w:val="1"/>
          <w:numId w:val="10"/>
        </w:numPr>
        <w:jc w:val="both"/>
        <w:rPr>
          <w:rFonts w:cs="Times New Roman"/>
          <w:sz w:val="28"/>
          <w:szCs w:val="28"/>
        </w:rPr>
      </w:pPr>
      <w:r>
        <w:rPr>
          <w:rFonts w:cs="Times New Roman"/>
          <w:sz w:val="28"/>
          <w:szCs w:val="28"/>
        </w:rPr>
        <w:t>le procedure che saranno svolte nell’arco del triennio;</w:t>
      </w:r>
    </w:p>
    <w:p w14:paraId="2F6EDFA9" w14:textId="77777777" w:rsidR="00F0329B" w:rsidRDefault="00206A24">
      <w:pPr>
        <w:pStyle w:val="Paragrafoelenco"/>
        <w:numPr>
          <w:ilvl w:val="1"/>
          <w:numId w:val="10"/>
        </w:numPr>
        <w:jc w:val="both"/>
        <w:rPr>
          <w:rFonts w:cs="Times New Roman"/>
          <w:sz w:val="28"/>
          <w:szCs w:val="28"/>
        </w:rPr>
      </w:pPr>
      <w:r>
        <w:rPr>
          <w:rFonts w:cs="Times New Roman"/>
          <w:sz w:val="28"/>
          <w:szCs w:val="28"/>
        </w:rPr>
        <w:t>le tempistiche stimate per ciascuna procedura;</w:t>
      </w:r>
    </w:p>
    <w:p w14:paraId="4B872C0A" w14:textId="77777777" w:rsidR="00F0329B" w:rsidRDefault="00206A24">
      <w:pPr>
        <w:pStyle w:val="Paragrafoelenco"/>
        <w:numPr>
          <w:ilvl w:val="1"/>
          <w:numId w:val="10"/>
        </w:numPr>
        <w:jc w:val="both"/>
        <w:rPr>
          <w:rFonts w:cs="Times New Roman"/>
          <w:sz w:val="28"/>
          <w:szCs w:val="28"/>
        </w:rPr>
      </w:pPr>
      <w:r>
        <w:rPr>
          <w:rFonts w:cs="Times New Roman"/>
          <w:sz w:val="28"/>
          <w:szCs w:val="28"/>
        </w:rPr>
        <w:t>eventuali scadenze da rispettare da parte degli Enti aderenti.</w:t>
      </w:r>
    </w:p>
    <w:p w14:paraId="1BB146B7" w14:textId="77777777" w:rsidR="00F0329B" w:rsidRDefault="00206A24">
      <w:pPr>
        <w:pStyle w:val="Paragrafoelenco"/>
        <w:numPr>
          <w:ilvl w:val="0"/>
          <w:numId w:val="11"/>
        </w:numPr>
        <w:jc w:val="both"/>
        <w:rPr>
          <w:rFonts w:cs="Times New Roman"/>
          <w:sz w:val="28"/>
          <w:szCs w:val="28"/>
        </w:rPr>
      </w:pPr>
      <w:r>
        <w:rPr>
          <w:rFonts w:cs="Times New Roman"/>
          <w:sz w:val="28"/>
          <w:szCs w:val="28"/>
        </w:rPr>
        <w:t>L’Elenco è definito sulla base dei seguenti criteri:</w:t>
      </w:r>
    </w:p>
    <w:p w14:paraId="7AF28E1A" w14:textId="77777777" w:rsidR="00F0329B" w:rsidRDefault="00206A24" w:rsidP="00206A24">
      <w:pPr>
        <w:pStyle w:val="Paragrafoelenco"/>
        <w:numPr>
          <w:ilvl w:val="1"/>
          <w:numId w:val="34"/>
        </w:numPr>
        <w:ind w:left="851"/>
        <w:jc w:val="both"/>
        <w:rPr>
          <w:rFonts w:cs="Times New Roman"/>
          <w:sz w:val="28"/>
          <w:szCs w:val="28"/>
        </w:rPr>
      </w:pPr>
      <w:r>
        <w:rPr>
          <w:rFonts w:cs="Times New Roman"/>
          <w:sz w:val="28"/>
          <w:szCs w:val="28"/>
        </w:rPr>
        <w:t>il tipo di procedura e il criterio di selezione delle offerte;</w:t>
      </w:r>
    </w:p>
    <w:p w14:paraId="4642816B" w14:textId="77777777" w:rsidR="00F0329B" w:rsidRDefault="00206A24" w:rsidP="00206A24">
      <w:pPr>
        <w:pStyle w:val="Paragrafoelenco"/>
        <w:numPr>
          <w:ilvl w:val="1"/>
          <w:numId w:val="34"/>
        </w:numPr>
        <w:ind w:left="851"/>
        <w:jc w:val="both"/>
        <w:rPr>
          <w:rFonts w:cs="Times New Roman"/>
          <w:sz w:val="28"/>
          <w:szCs w:val="28"/>
        </w:rPr>
      </w:pPr>
      <w:r>
        <w:rPr>
          <w:rFonts w:cs="Times New Roman"/>
          <w:sz w:val="28"/>
          <w:szCs w:val="28"/>
        </w:rPr>
        <w:t>la possibilità di accorpare procedure relative a due o più Enti aderenti, in presenza di fabbisogni e scadenze omogenei;</w:t>
      </w:r>
    </w:p>
    <w:p w14:paraId="006BB706" w14:textId="77777777" w:rsidR="00F0329B" w:rsidRDefault="00206A24" w:rsidP="00206A24">
      <w:pPr>
        <w:pStyle w:val="Paragrafoelenco"/>
        <w:numPr>
          <w:ilvl w:val="1"/>
          <w:numId w:val="34"/>
        </w:numPr>
        <w:ind w:left="851"/>
        <w:jc w:val="both"/>
        <w:rPr>
          <w:rFonts w:cs="Times New Roman"/>
          <w:sz w:val="28"/>
          <w:szCs w:val="28"/>
        </w:rPr>
      </w:pPr>
      <w:r>
        <w:rPr>
          <w:rFonts w:cs="Times New Roman"/>
          <w:sz w:val="28"/>
          <w:szCs w:val="28"/>
        </w:rPr>
        <w:t>eventuali condizioni di urgenza, purché compatibili con le tempistiche della procedura, con particolare riguardo ai casi in cui sia stata manifestata la necessità di rispettare eventuali tempi connessi all’impiego di finanziamenti ottenuti per la realizzazione degli interventi;</w:t>
      </w:r>
    </w:p>
    <w:p w14:paraId="3F5909CB" w14:textId="77777777" w:rsidR="00F0329B" w:rsidRDefault="00206A24" w:rsidP="00206A24">
      <w:pPr>
        <w:pStyle w:val="Paragrafoelenco"/>
        <w:numPr>
          <w:ilvl w:val="1"/>
          <w:numId w:val="34"/>
        </w:numPr>
        <w:ind w:left="851"/>
        <w:jc w:val="both"/>
        <w:rPr>
          <w:rFonts w:cs="Times New Roman"/>
          <w:sz w:val="28"/>
          <w:szCs w:val="28"/>
        </w:rPr>
      </w:pPr>
      <w:r>
        <w:rPr>
          <w:rFonts w:cs="Times New Roman"/>
          <w:sz w:val="28"/>
          <w:szCs w:val="28"/>
        </w:rPr>
        <w:t>la priorità da accordare alle procedure di affidamento per le quali il ricorso alla S.U.A. sia obbligatorio, o comunque l’Ente aderente non possa procedere direttamente, rispetto ai casi in cui non lo sia.</w:t>
      </w:r>
    </w:p>
    <w:p w14:paraId="55D97575" w14:textId="5B9A2683" w:rsidR="00F0329B" w:rsidRDefault="00206A24">
      <w:pPr>
        <w:pStyle w:val="Paragrafoelenco"/>
        <w:numPr>
          <w:ilvl w:val="0"/>
          <w:numId w:val="11"/>
        </w:numPr>
        <w:jc w:val="both"/>
        <w:rPr>
          <w:rFonts w:cs="Times New Roman"/>
          <w:sz w:val="28"/>
          <w:szCs w:val="28"/>
        </w:rPr>
      </w:pPr>
      <w:r>
        <w:rPr>
          <w:rFonts w:cs="Times New Roman"/>
          <w:sz w:val="28"/>
          <w:szCs w:val="28"/>
        </w:rPr>
        <w:t xml:space="preserve">L’Elenco è condiviso con gli Enti aderenti entro il </w:t>
      </w:r>
      <w:r w:rsidR="00E021BF" w:rsidRPr="00E021BF">
        <w:rPr>
          <w:rFonts w:cs="Times New Roman"/>
          <w:b/>
          <w:bCs/>
          <w:sz w:val="28"/>
          <w:szCs w:val="28"/>
          <w:highlight w:val="yellow"/>
        </w:rPr>
        <w:t>………….</w:t>
      </w:r>
      <w:r w:rsidR="00E021BF">
        <w:rPr>
          <w:rFonts w:cs="Times New Roman"/>
          <w:b/>
          <w:bCs/>
          <w:sz w:val="28"/>
          <w:szCs w:val="28"/>
        </w:rPr>
        <w:t xml:space="preserve"> </w:t>
      </w:r>
      <w:r>
        <w:rPr>
          <w:rFonts w:cs="Times New Roman"/>
          <w:sz w:val="28"/>
          <w:szCs w:val="28"/>
        </w:rPr>
        <w:t>di ogni anno.</w:t>
      </w:r>
    </w:p>
    <w:p w14:paraId="127BDE1A" w14:textId="77777777" w:rsidR="00F0329B" w:rsidRDefault="00206A24">
      <w:pPr>
        <w:pStyle w:val="Paragrafoelenco"/>
        <w:numPr>
          <w:ilvl w:val="0"/>
          <w:numId w:val="11"/>
        </w:numPr>
        <w:jc w:val="both"/>
        <w:rPr>
          <w:rFonts w:cs="Times New Roman"/>
          <w:sz w:val="28"/>
          <w:szCs w:val="28"/>
        </w:rPr>
      </w:pPr>
      <w:r>
        <w:rPr>
          <w:rFonts w:cs="Times New Roman"/>
          <w:sz w:val="28"/>
          <w:szCs w:val="28"/>
        </w:rPr>
        <w:t>Nell’arco dell’anno la S.U.A. è comunque disponibile a valutare eventuali richieste non previste nell’Elenco condiviso, ai fini dell’aggiornamento dello stesso, ove compatibili con le procedure già calendarizzate e tenuto conto dei criteri di cui al comma 3 del presente articolo.</w:t>
      </w:r>
    </w:p>
    <w:p w14:paraId="350441B2" w14:textId="77777777" w:rsidR="00F0329B" w:rsidRDefault="00206A24">
      <w:pPr>
        <w:pStyle w:val="Paragrafoelenco"/>
        <w:numPr>
          <w:ilvl w:val="0"/>
          <w:numId w:val="11"/>
        </w:numPr>
        <w:jc w:val="both"/>
        <w:rPr>
          <w:rFonts w:cs="Times New Roman"/>
          <w:sz w:val="28"/>
          <w:szCs w:val="28"/>
        </w:rPr>
      </w:pPr>
      <w:r>
        <w:rPr>
          <w:rFonts w:cs="Times New Roman"/>
          <w:sz w:val="28"/>
          <w:szCs w:val="28"/>
        </w:rPr>
        <w:t>Nel caso in cui per una procedura trasmessa alla S.U.A. dall’Ente convenzionato ed inserita nell’Elenco, l’Ente convenzionato non rispetti, in relazione alle attività di propria competenza, le tempistiche indicate dalla S.U.A la procedura non sarà più svolta nell’anno indicato ma dovrà essere riproposta l’anno successivo.</w:t>
      </w:r>
    </w:p>
    <w:p w14:paraId="7F59109E" w14:textId="77777777" w:rsidR="00F0329B" w:rsidRDefault="00F0329B">
      <w:pPr>
        <w:rPr>
          <w:rFonts w:cs="Times New Roman"/>
          <w:sz w:val="28"/>
          <w:szCs w:val="28"/>
        </w:rPr>
      </w:pPr>
    </w:p>
    <w:p w14:paraId="16DF7E21" w14:textId="77777777" w:rsidR="00F0329B" w:rsidRDefault="00206A24">
      <w:pPr>
        <w:pStyle w:val="Titolo1"/>
        <w:rPr>
          <w:rFonts w:ascii="Times New Roman" w:hAnsi="Times New Roman" w:cs="Times New Roman"/>
        </w:rPr>
      </w:pPr>
      <w:bookmarkStart w:id="35" w:name="_Toc178327390"/>
      <w:bookmarkStart w:id="36" w:name="_Toc102362476"/>
      <w:bookmarkEnd w:id="35"/>
      <w:bookmarkEnd w:id="36"/>
      <w:r>
        <w:rPr>
          <w:rFonts w:ascii="Times New Roman" w:hAnsi="Times New Roman" w:cs="Times New Roman"/>
        </w:rPr>
        <w:t>Art. 7 Progettazione della gara e avvio del procedimento.</w:t>
      </w:r>
    </w:p>
    <w:p w14:paraId="16F66DDD" w14:textId="77777777" w:rsidR="00F0329B" w:rsidRDefault="00206A24">
      <w:pPr>
        <w:pStyle w:val="Paragrafoelenco"/>
        <w:numPr>
          <w:ilvl w:val="0"/>
          <w:numId w:val="12"/>
        </w:numPr>
        <w:jc w:val="both"/>
        <w:rPr>
          <w:rFonts w:cs="Times New Roman"/>
          <w:sz w:val="28"/>
          <w:szCs w:val="28"/>
        </w:rPr>
      </w:pPr>
      <w:r>
        <w:rPr>
          <w:rFonts w:cs="Times New Roman"/>
          <w:sz w:val="28"/>
          <w:szCs w:val="28"/>
        </w:rPr>
        <w:t>Con riferimento alle procedure inserite nell’Elenco, la S.U.A. e l’Ente aderente avviano l’attività di collaborazione volta a definire il contenuto degli atti di gara, nei tempi previsti e secondo le rispettive competenze, come definite dalla presente Convenzione.</w:t>
      </w:r>
    </w:p>
    <w:p w14:paraId="06E181C5" w14:textId="77777777" w:rsidR="00F0329B" w:rsidRDefault="00206A24">
      <w:pPr>
        <w:pStyle w:val="Paragrafoelenco"/>
        <w:numPr>
          <w:ilvl w:val="0"/>
          <w:numId w:val="12"/>
        </w:numPr>
        <w:jc w:val="both"/>
        <w:rPr>
          <w:rFonts w:cs="Times New Roman"/>
          <w:sz w:val="28"/>
          <w:szCs w:val="28"/>
        </w:rPr>
      </w:pPr>
      <w:r>
        <w:rPr>
          <w:rFonts w:cs="Times New Roman"/>
          <w:sz w:val="28"/>
          <w:szCs w:val="28"/>
        </w:rPr>
        <w:t>Quando gli atti di gara sono stati definiti, la S.U.A. li trasmette all’Ente aderente per l’approvazione, secondo le procedure applicabili da parte di ciascun Ente.</w:t>
      </w:r>
    </w:p>
    <w:p w14:paraId="143C04D0" w14:textId="77777777" w:rsidR="00F0329B" w:rsidRDefault="00206A24">
      <w:pPr>
        <w:pStyle w:val="Paragrafoelenco"/>
        <w:numPr>
          <w:ilvl w:val="0"/>
          <w:numId w:val="12"/>
        </w:numPr>
        <w:jc w:val="both"/>
        <w:rPr>
          <w:rFonts w:cs="Times New Roman"/>
        </w:rPr>
      </w:pPr>
      <w:r>
        <w:rPr>
          <w:rFonts w:cs="Times New Roman"/>
          <w:sz w:val="28"/>
          <w:szCs w:val="28"/>
        </w:rPr>
        <w:t xml:space="preserve">L’Ente aderente trasmette quindi alla S.U.A. la “Richiesta di avvio della </w:t>
      </w:r>
      <w:proofErr w:type="gramStart"/>
      <w:r>
        <w:rPr>
          <w:rFonts w:cs="Times New Roman"/>
          <w:sz w:val="28"/>
          <w:szCs w:val="28"/>
        </w:rPr>
        <w:t>procedura”/</w:t>
      </w:r>
      <w:proofErr w:type="gramEnd"/>
      <w:r>
        <w:rPr>
          <w:rFonts w:cs="Times New Roman"/>
          <w:sz w:val="28"/>
          <w:szCs w:val="28"/>
        </w:rPr>
        <w:t>”Conferma degli atti di gara”, corredata dalla Determina a contrarre, sottoscritta.</w:t>
      </w:r>
    </w:p>
    <w:p w14:paraId="5D915369" w14:textId="77777777" w:rsidR="00F0329B" w:rsidRDefault="00206A24">
      <w:pPr>
        <w:pStyle w:val="Paragrafoelenco"/>
        <w:numPr>
          <w:ilvl w:val="0"/>
          <w:numId w:val="12"/>
        </w:numPr>
        <w:jc w:val="both"/>
        <w:rPr>
          <w:rFonts w:cs="Times New Roman"/>
          <w:sz w:val="28"/>
          <w:szCs w:val="28"/>
        </w:rPr>
      </w:pPr>
      <w:r>
        <w:rPr>
          <w:rFonts w:cs="Times New Roman"/>
          <w:sz w:val="28"/>
          <w:szCs w:val="28"/>
        </w:rPr>
        <w:t>La S.U.A. procede quindi alla sottoscrizione degli atti di gara ed alla relativa pubblicazione, o alla trasmissione degli Inviti, a seconda del tipo di procedura.</w:t>
      </w:r>
    </w:p>
    <w:p w14:paraId="2B39D7A9" w14:textId="77777777" w:rsidR="00F0329B" w:rsidRDefault="00206A24">
      <w:pPr>
        <w:pStyle w:val="Paragrafoelenco"/>
        <w:numPr>
          <w:ilvl w:val="0"/>
          <w:numId w:val="12"/>
        </w:numPr>
        <w:jc w:val="both"/>
        <w:rPr>
          <w:rFonts w:cs="Times New Roman"/>
          <w:sz w:val="28"/>
          <w:szCs w:val="28"/>
        </w:rPr>
      </w:pPr>
      <w:r>
        <w:rPr>
          <w:rFonts w:cs="Times New Roman"/>
          <w:sz w:val="28"/>
          <w:szCs w:val="28"/>
        </w:rPr>
        <w:t>Lo svolgimento della procedura di affidamento è quindi gestito dalla S.U.A., con la collaborazione dell’Ente aderente, sulla base del riparto di competenze definito dai successivi artt. 8 e 9.</w:t>
      </w:r>
    </w:p>
    <w:p w14:paraId="6513332D" w14:textId="77777777" w:rsidR="00F0329B" w:rsidRDefault="00F0329B">
      <w:pPr>
        <w:rPr>
          <w:rFonts w:cs="Times New Roman"/>
          <w:sz w:val="28"/>
          <w:szCs w:val="28"/>
          <w:highlight w:val="yellow"/>
          <w:u w:val="single"/>
        </w:rPr>
      </w:pPr>
    </w:p>
    <w:p w14:paraId="2C9F3BD0" w14:textId="77777777" w:rsidR="00F0329B" w:rsidRDefault="00206A24">
      <w:pPr>
        <w:pStyle w:val="Titolo1"/>
        <w:rPr>
          <w:rFonts w:ascii="Times New Roman" w:hAnsi="Times New Roman" w:cs="Times New Roman"/>
        </w:rPr>
      </w:pPr>
      <w:bookmarkStart w:id="37" w:name="_Toc178327391"/>
      <w:bookmarkStart w:id="38" w:name="_Toc101427719"/>
      <w:bookmarkStart w:id="39" w:name="_Toc102362477"/>
      <w:bookmarkEnd w:id="37"/>
      <w:bookmarkEnd w:id="38"/>
      <w:bookmarkEnd w:id="39"/>
      <w:r>
        <w:rPr>
          <w:rFonts w:ascii="Times New Roman" w:hAnsi="Times New Roman" w:cs="Times New Roman"/>
        </w:rPr>
        <w:lastRenderedPageBreak/>
        <w:t>Art. 8 Attività di competenza della Stazione Unica Appaltante</w:t>
      </w:r>
    </w:p>
    <w:p w14:paraId="73C654B4" w14:textId="77777777" w:rsidR="00F0329B" w:rsidRDefault="00206A24">
      <w:pPr>
        <w:pStyle w:val="Paragrafoelenco"/>
        <w:numPr>
          <w:ilvl w:val="0"/>
          <w:numId w:val="13"/>
        </w:numPr>
        <w:jc w:val="both"/>
        <w:rPr>
          <w:rFonts w:cs="Times New Roman"/>
          <w:sz w:val="28"/>
          <w:szCs w:val="28"/>
        </w:rPr>
      </w:pPr>
      <w:r>
        <w:rPr>
          <w:rFonts w:cs="Times New Roman"/>
          <w:sz w:val="28"/>
          <w:szCs w:val="28"/>
        </w:rPr>
        <w:t>Sono di competenza della S.U.A. le seguenti funzioni ed attività:</w:t>
      </w:r>
    </w:p>
    <w:p w14:paraId="1AAC7BCC" w14:textId="77777777" w:rsidR="00F0329B" w:rsidRDefault="00206A24" w:rsidP="00206A24">
      <w:pPr>
        <w:pStyle w:val="Paragrafoelenco"/>
        <w:numPr>
          <w:ilvl w:val="1"/>
          <w:numId w:val="34"/>
        </w:numPr>
        <w:ind w:left="851"/>
        <w:jc w:val="both"/>
        <w:rPr>
          <w:rFonts w:cs="Times New Roman"/>
          <w:sz w:val="28"/>
          <w:szCs w:val="28"/>
        </w:rPr>
      </w:pPr>
      <w:r>
        <w:rPr>
          <w:rFonts w:cs="Times New Roman"/>
          <w:sz w:val="28"/>
          <w:szCs w:val="28"/>
        </w:rPr>
        <w:t>la raccolta dei fabbisogni degli Enti aderenti e la programmazione delle procedure, secondo quanto previsto dall’art. 6 della Convenzione;</w:t>
      </w:r>
    </w:p>
    <w:p w14:paraId="66160511" w14:textId="77777777" w:rsidR="00F0329B" w:rsidRPr="00206A24" w:rsidRDefault="00206A24" w:rsidP="00206A24">
      <w:pPr>
        <w:pStyle w:val="Paragrafoelenco"/>
        <w:numPr>
          <w:ilvl w:val="1"/>
          <w:numId w:val="34"/>
        </w:numPr>
        <w:ind w:left="851"/>
        <w:jc w:val="both"/>
        <w:rPr>
          <w:rFonts w:cs="Times New Roman"/>
          <w:sz w:val="28"/>
          <w:szCs w:val="28"/>
        </w:rPr>
      </w:pPr>
      <w:r>
        <w:rPr>
          <w:rFonts w:cs="Times New Roman"/>
          <w:sz w:val="28"/>
          <w:szCs w:val="28"/>
        </w:rPr>
        <w:t>la proposta, in ossequio al principio di economicità del procedimento amministrativo, di procedure aggregate, nel caso in cui più Enti aderenti abbiano manifestato fabbisogni omogenei, sempre secondo quanto previsto nell’art. 6;</w:t>
      </w:r>
    </w:p>
    <w:p w14:paraId="75CD53B6" w14:textId="77777777" w:rsidR="00F0329B" w:rsidRPr="00206A24" w:rsidRDefault="00206A24" w:rsidP="00206A24">
      <w:pPr>
        <w:pStyle w:val="Paragrafoelenco"/>
        <w:numPr>
          <w:ilvl w:val="1"/>
          <w:numId w:val="34"/>
        </w:numPr>
        <w:ind w:left="851"/>
        <w:jc w:val="both"/>
        <w:rPr>
          <w:rFonts w:cs="Times New Roman"/>
          <w:sz w:val="28"/>
          <w:szCs w:val="28"/>
        </w:rPr>
      </w:pPr>
      <w:r>
        <w:rPr>
          <w:rFonts w:cs="Times New Roman"/>
          <w:sz w:val="28"/>
          <w:szCs w:val="28"/>
        </w:rPr>
        <w:t>la nomina del Responsabile del procedimento per la S.U.A. (RP), ai sensi dell’articolo 6 della l. 241/1990;</w:t>
      </w:r>
    </w:p>
    <w:p w14:paraId="61115497" w14:textId="77777777" w:rsidR="00F0329B" w:rsidRPr="00206A24" w:rsidRDefault="00206A24" w:rsidP="00206A24">
      <w:pPr>
        <w:pStyle w:val="Paragrafoelenco"/>
        <w:numPr>
          <w:ilvl w:val="1"/>
          <w:numId w:val="34"/>
        </w:numPr>
        <w:ind w:left="851"/>
        <w:jc w:val="both"/>
        <w:rPr>
          <w:rFonts w:cs="Times New Roman"/>
          <w:sz w:val="28"/>
          <w:szCs w:val="28"/>
        </w:rPr>
      </w:pPr>
      <w:r>
        <w:rPr>
          <w:rFonts w:cs="Times New Roman"/>
          <w:sz w:val="28"/>
          <w:szCs w:val="28"/>
        </w:rPr>
        <w:t>l’acquisizione del CIG su delega;</w:t>
      </w:r>
    </w:p>
    <w:p w14:paraId="70E71F36" w14:textId="77777777" w:rsidR="00F0329B" w:rsidRPr="00206A24" w:rsidRDefault="00206A24" w:rsidP="00206A24">
      <w:pPr>
        <w:pStyle w:val="Paragrafoelenco"/>
        <w:numPr>
          <w:ilvl w:val="1"/>
          <w:numId w:val="34"/>
        </w:numPr>
        <w:ind w:left="851"/>
        <w:jc w:val="both"/>
        <w:rPr>
          <w:rFonts w:cs="Times New Roman"/>
          <w:sz w:val="28"/>
          <w:szCs w:val="28"/>
        </w:rPr>
      </w:pPr>
      <w:r>
        <w:rPr>
          <w:rFonts w:cs="Times New Roman"/>
          <w:sz w:val="28"/>
          <w:szCs w:val="28"/>
        </w:rPr>
        <w:t>l’utilizzo di una piattaforma informatica per l’interscambio delle informazioni e dei documenti relativi alle procedure di gara gestite;</w:t>
      </w:r>
    </w:p>
    <w:p w14:paraId="6DA54C35" w14:textId="77777777" w:rsidR="00F0329B" w:rsidRPr="00206A24" w:rsidRDefault="00206A24" w:rsidP="00206A24">
      <w:pPr>
        <w:pStyle w:val="Paragrafoelenco"/>
        <w:numPr>
          <w:ilvl w:val="1"/>
          <w:numId w:val="34"/>
        </w:numPr>
        <w:ind w:left="851"/>
        <w:jc w:val="both"/>
        <w:rPr>
          <w:rFonts w:cs="Times New Roman"/>
          <w:sz w:val="28"/>
          <w:szCs w:val="28"/>
        </w:rPr>
      </w:pPr>
      <w:r>
        <w:rPr>
          <w:rFonts w:cs="Times New Roman"/>
          <w:sz w:val="28"/>
          <w:szCs w:val="28"/>
        </w:rPr>
        <w:t>la verifica della completezza, della chiarezza, coerenza e correttezza della documentazione di gara, definita in collaborazione con gli Enti aderenti, anche sulla base delle informazioni, dei dati e dei documenti da questi forniti e trasmessi, nonché della conformità degli stessi ai bandi-tipo di ANAC;</w:t>
      </w:r>
    </w:p>
    <w:p w14:paraId="7969752D" w14:textId="77777777" w:rsidR="00F0329B" w:rsidRPr="00206A24" w:rsidRDefault="00206A24" w:rsidP="00206A24">
      <w:pPr>
        <w:pStyle w:val="Paragrafoelenco"/>
        <w:numPr>
          <w:ilvl w:val="1"/>
          <w:numId w:val="34"/>
        </w:numPr>
        <w:ind w:left="851"/>
        <w:jc w:val="both"/>
        <w:rPr>
          <w:rFonts w:cs="Times New Roman"/>
          <w:sz w:val="28"/>
          <w:szCs w:val="28"/>
        </w:rPr>
      </w:pPr>
      <w:r>
        <w:rPr>
          <w:rFonts w:cs="Times New Roman"/>
          <w:sz w:val="28"/>
          <w:szCs w:val="28"/>
        </w:rPr>
        <w:t>in particolare, la verifica di proporzionalità e attinenza dei requisiti di partecipazione degli operatori e, in caso di ricorso al criterio dell’offerta economicamente più vantaggiosa, dei criteri di valutazione delle offerte, delle loro specificazioni come sub-criteri, dei relativi pesi e sub-pesi ponderali, nonché della metodologia di attribuzione dei punteggi;</w:t>
      </w:r>
    </w:p>
    <w:p w14:paraId="5DC13D27" w14:textId="77777777" w:rsidR="00F0329B" w:rsidRDefault="00206A24" w:rsidP="00206A24">
      <w:pPr>
        <w:pStyle w:val="Paragrafoelenco"/>
        <w:numPr>
          <w:ilvl w:val="1"/>
          <w:numId w:val="34"/>
        </w:numPr>
        <w:ind w:left="851"/>
        <w:jc w:val="both"/>
        <w:rPr>
          <w:rFonts w:cs="Times New Roman"/>
          <w:sz w:val="28"/>
          <w:szCs w:val="28"/>
        </w:rPr>
      </w:pPr>
      <w:r>
        <w:rPr>
          <w:rFonts w:cs="Times New Roman"/>
          <w:sz w:val="28"/>
          <w:szCs w:val="28"/>
        </w:rPr>
        <w:t>la sottoscrizione degli atti di gara, in particolare il Bando, il Disciplinare e, nelle procedure ristrette o negoziate, le Lettere di invito;</w:t>
      </w:r>
    </w:p>
    <w:p w14:paraId="5953DA1B" w14:textId="77777777" w:rsidR="00F0329B" w:rsidRPr="00206A24" w:rsidRDefault="00206A24" w:rsidP="00206A24">
      <w:pPr>
        <w:pStyle w:val="Paragrafoelenco"/>
        <w:numPr>
          <w:ilvl w:val="1"/>
          <w:numId w:val="34"/>
        </w:numPr>
        <w:ind w:left="851"/>
        <w:jc w:val="both"/>
        <w:rPr>
          <w:rFonts w:cs="Times New Roman"/>
          <w:sz w:val="28"/>
          <w:szCs w:val="28"/>
        </w:rPr>
      </w:pPr>
      <w:r>
        <w:rPr>
          <w:rFonts w:cs="Times New Roman"/>
          <w:sz w:val="28"/>
          <w:szCs w:val="28"/>
        </w:rPr>
        <w:t>la pubblicazione del Bando o dell’Avviso, ovvero, nelle procedure ristrette e negoziate, la trasmissione degli Inviti, e le pubblicazioni sul proprio sito Amministrazione Trasparente, previste dal d.lgs. n. 33/2013 e dalla l. 190/2012, per quanto di propria competenza;</w:t>
      </w:r>
    </w:p>
    <w:p w14:paraId="00E32EF4" w14:textId="77777777" w:rsidR="00F0329B" w:rsidRDefault="00206A24" w:rsidP="00206A24">
      <w:pPr>
        <w:pStyle w:val="Paragrafoelenco"/>
        <w:numPr>
          <w:ilvl w:val="1"/>
          <w:numId w:val="34"/>
        </w:numPr>
        <w:ind w:left="851"/>
        <w:jc w:val="both"/>
        <w:rPr>
          <w:rFonts w:cs="Times New Roman"/>
          <w:sz w:val="28"/>
          <w:szCs w:val="28"/>
        </w:rPr>
      </w:pPr>
      <w:r>
        <w:rPr>
          <w:rFonts w:cs="Times New Roman"/>
          <w:sz w:val="28"/>
          <w:szCs w:val="28"/>
        </w:rPr>
        <w:t>la nomina del Seggio di Gara (nelle procedure con l’utilizzo del</w:t>
      </w:r>
      <w:r>
        <w:rPr>
          <w:rFonts w:cs="Times New Roman"/>
          <w:sz w:val="28"/>
          <w:szCs w:val="28"/>
        </w:rPr>
        <w:br/>
        <w:t>criterio del prezzo più basso) o della Commissione Giudicatrice</w:t>
      </w:r>
      <w:r>
        <w:rPr>
          <w:rFonts w:cs="Times New Roman"/>
          <w:sz w:val="28"/>
          <w:szCs w:val="28"/>
        </w:rPr>
        <w:br/>
        <w:t>(nelle procedure con l’utilizzo del criterio dell’offerta economicamente più vantaggiosa), in linea con quanto previsto dalla normativa e dai regolamenti eventualmente applicabili in materia di contratti pubblici e di prevenzione della corruzione;</w:t>
      </w:r>
    </w:p>
    <w:p w14:paraId="268D04C2" w14:textId="77777777" w:rsidR="00F0329B" w:rsidRDefault="00206A24" w:rsidP="00206A24">
      <w:pPr>
        <w:pStyle w:val="Paragrafoelenco"/>
        <w:numPr>
          <w:ilvl w:val="1"/>
          <w:numId w:val="34"/>
        </w:numPr>
        <w:ind w:left="851"/>
        <w:jc w:val="both"/>
        <w:rPr>
          <w:rFonts w:cs="Times New Roman"/>
          <w:sz w:val="28"/>
          <w:szCs w:val="28"/>
        </w:rPr>
      </w:pPr>
      <w:r>
        <w:rPr>
          <w:rFonts w:cs="Times New Roman"/>
          <w:sz w:val="28"/>
          <w:szCs w:val="28"/>
        </w:rPr>
        <w:t>la realizzazione degli adempimenti relativi allo svolgimento della</w:t>
      </w:r>
      <w:r>
        <w:rPr>
          <w:rFonts w:cs="Times New Roman"/>
          <w:sz w:val="28"/>
          <w:szCs w:val="28"/>
        </w:rPr>
        <w:br/>
        <w:t>procedura di gara in tutte le fasi, prodromiche all’aggiudicazione, quali in particolare:</w:t>
      </w:r>
    </w:p>
    <w:p w14:paraId="0AFC5036" w14:textId="77777777" w:rsidR="00F0329B" w:rsidRDefault="00206A24" w:rsidP="00206A24">
      <w:pPr>
        <w:pStyle w:val="Paragrafoelenco"/>
        <w:numPr>
          <w:ilvl w:val="2"/>
          <w:numId w:val="34"/>
        </w:numPr>
        <w:jc w:val="both"/>
        <w:rPr>
          <w:rFonts w:cs="Times New Roman"/>
          <w:sz w:val="28"/>
          <w:szCs w:val="28"/>
        </w:rPr>
      </w:pPr>
      <w:r>
        <w:rPr>
          <w:rFonts w:cs="Times New Roman"/>
          <w:sz w:val="28"/>
          <w:szCs w:val="28"/>
        </w:rPr>
        <w:t>il supporto amministrativo in tutte le fasi di svolgimento della procedura di gara (ad esempio: richiesta di verifica delle offerte anormalmente basse e costi della manodopera, verbalizzazione delle sedute di gara, avvisi e convocazioni sedute pubbliche ecc.);</w:t>
      </w:r>
    </w:p>
    <w:p w14:paraId="0C9DDC68" w14:textId="77777777" w:rsidR="00F0329B" w:rsidRDefault="00206A24" w:rsidP="00206A24">
      <w:pPr>
        <w:pStyle w:val="Paragrafoelenco"/>
        <w:numPr>
          <w:ilvl w:val="2"/>
          <w:numId w:val="34"/>
        </w:numPr>
        <w:jc w:val="both"/>
        <w:rPr>
          <w:rFonts w:cs="Times New Roman"/>
          <w:sz w:val="28"/>
          <w:szCs w:val="28"/>
        </w:rPr>
      </w:pPr>
      <w:r>
        <w:rPr>
          <w:rFonts w:cs="Times New Roman"/>
          <w:sz w:val="28"/>
          <w:szCs w:val="28"/>
        </w:rPr>
        <w:t>la verifica del possesso dei requisiti dichiarati in sede di gara con accesso diretto alle amministrazioni ed enti certificanti, previa delegazione da parte dell’Ente Aderente;</w:t>
      </w:r>
    </w:p>
    <w:p w14:paraId="1F1D4721" w14:textId="77777777" w:rsidR="00F0329B" w:rsidRDefault="00206A24" w:rsidP="00206A24">
      <w:pPr>
        <w:pStyle w:val="Paragrafoelenco"/>
        <w:numPr>
          <w:ilvl w:val="2"/>
          <w:numId w:val="34"/>
        </w:numPr>
        <w:jc w:val="both"/>
        <w:rPr>
          <w:rFonts w:cs="Times New Roman"/>
          <w:sz w:val="28"/>
          <w:szCs w:val="28"/>
        </w:rPr>
      </w:pPr>
      <w:r>
        <w:rPr>
          <w:rFonts w:cs="Times New Roman"/>
          <w:sz w:val="28"/>
          <w:szCs w:val="28"/>
        </w:rPr>
        <w:lastRenderedPageBreak/>
        <w:t>la formulazione della proposta di aggiudicazione;</w:t>
      </w:r>
    </w:p>
    <w:p w14:paraId="413E87CE" w14:textId="77777777" w:rsidR="00F0329B" w:rsidRDefault="00206A24" w:rsidP="00206A24">
      <w:pPr>
        <w:pStyle w:val="Paragrafoelenco"/>
        <w:numPr>
          <w:ilvl w:val="2"/>
          <w:numId w:val="34"/>
        </w:numPr>
        <w:jc w:val="both"/>
        <w:rPr>
          <w:rFonts w:cs="Times New Roman"/>
          <w:sz w:val="28"/>
          <w:szCs w:val="28"/>
        </w:rPr>
      </w:pPr>
      <w:r>
        <w:rPr>
          <w:rFonts w:cs="Times New Roman"/>
          <w:sz w:val="28"/>
          <w:szCs w:val="28"/>
        </w:rPr>
        <w:t>il supporto al RUP nello svolgimento delle comunicazioni e pubblicazioni conseguenti all’aggiudicazione;</w:t>
      </w:r>
    </w:p>
    <w:p w14:paraId="16ECBE9F" w14:textId="77777777" w:rsidR="00F0329B" w:rsidRDefault="00206A24" w:rsidP="00206A24">
      <w:pPr>
        <w:pStyle w:val="Paragrafoelenco"/>
        <w:numPr>
          <w:ilvl w:val="1"/>
          <w:numId w:val="34"/>
        </w:numPr>
        <w:ind w:left="851"/>
        <w:jc w:val="both"/>
        <w:rPr>
          <w:rFonts w:cs="Times New Roman"/>
          <w:sz w:val="28"/>
          <w:szCs w:val="28"/>
        </w:rPr>
      </w:pPr>
      <w:r>
        <w:rPr>
          <w:rFonts w:cs="Times New Roman"/>
          <w:sz w:val="28"/>
          <w:szCs w:val="28"/>
        </w:rPr>
        <w:t>fermo restando quanto indicato all’art.1, commi 2 e 3, il supporto all’Ente Aderente per l’affidamento delle procedure da aggiudicare attraverso il sistema ME.PA., svolgendo le attività delle lettere e), f), g) e solo parzialmente quelle della lettera m) e affiancando il RUP dell’Ente aderente per le operazioni da compiersi sul ME.PA;</w:t>
      </w:r>
    </w:p>
    <w:p w14:paraId="13598E37" w14:textId="77777777" w:rsidR="00F0329B" w:rsidRDefault="00206A24" w:rsidP="00206A24">
      <w:pPr>
        <w:pStyle w:val="Paragrafoelenco"/>
        <w:numPr>
          <w:ilvl w:val="1"/>
          <w:numId w:val="34"/>
        </w:numPr>
        <w:ind w:left="851"/>
        <w:jc w:val="both"/>
        <w:rPr>
          <w:rFonts w:cs="Times New Roman"/>
          <w:sz w:val="28"/>
          <w:szCs w:val="28"/>
        </w:rPr>
      </w:pPr>
      <w:r>
        <w:rPr>
          <w:rFonts w:cs="Times New Roman"/>
          <w:sz w:val="28"/>
          <w:szCs w:val="28"/>
        </w:rPr>
        <w:t>possibile supporto nella fase di esecuzione, in particolare con riferimento all’autorizzazione di subappalti e all’approvazione di varianti contrattuali;</w:t>
      </w:r>
    </w:p>
    <w:p w14:paraId="6DB18D26" w14:textId="77777777" w:rsidR="00F0329B" w:rsidRDefault="00206A24" w:rsidP="00206A24">
      <w:pPr>
        <w:pStyle w:val="Paragrafoelenco"/>
        <w:numPr>
          <w:ilvl w:val="1"/>
          <w:numId w:val="34"/>
        </w:numPr>
        <w:ind w:left="851"/>
        <w:jc w:val="both"/>
        <w:rPr>
          <w:rFonts w:cs="Times New Roman"/>
          <w:sz w:val="28"/>
          <w:szCs w:val="28"/>
        </w:rPr>
      </w:pPr>
      <w:r>
        <w:rPr>
          <w:rFonts w:cs="Times New Roman"/>
          <w:sz w:val="28"/>
          <w:szCs w:val="28"/>
        </w:rPr>
        <w:t>in caso di contenziosi instaurati da terzi nell’ambito delle procedure di gara gestite dalla S.U.A. in esecuzione della presente Convenzione, e in particolare in caso di impugnazione di atti della procedura da parte di terzi, la stessa collabora con gli Enti aderenti mettendo tempestivamente a disposizione tutti i documenti relativi alla procedura oggetto di contenzioso e fornendo gli elementi tecnico giuridici per valutare la necessità o meno di costituirsi in giudizio, nonché per facilitare l’esercizio della difesa e l’eventuale difesa congiunta, come meglio precisato dall’art. 16 della presente Convenzione.</w:t>
      </w:r>
    </w:p>
    <w:p w14:paraId="4F80DB59" w14:textId="77777777" w:rsidR="00F0329B" w:rsidRDefault="00F0329B">
      <w:pPr>
        <w:rPr>
          <w:rFonts w:cs="Times New Roman"/>
        </w:rPr>
      </w:pPr>
    </w:p>
    <w:p w14:paraId="1D6BB894" w14:textId="77777777" w:rsidR="00F0329B" w:rsidRDefault="00206A24">
      <w:pPr>
        <w:pStyle w:val="Titolo1"/>
        <w:rPr>
          <w:rFonts w:ascii="Times New Roman" w:hAnsi="Times New Roman" w:cs="Times New Roman"/>
        </w:rPr>
      </w:pPr>
      <w:bookmarkStart w:id="40" w:name="_Toc178327392"/>
      <w:bookmarkStart w:id="41" w:name="_Toc101427720"/>
      <w:bookmarkStart w:id="42" w:name="_Toc102362478"/>
      <w:bookmarkEnd w:id="40"/>
      <w:bookmarkEnd w:id="41"/>
      <w:bookmarkEnd w:id="42"/>
      <w:r>
        <w:rPr>
          <w:rFonts w:ascii="Times New Roman" w:hAnsi="Times New Roman" w:cs="Times New Roman"/>
        </w:rPr>
        <w:t>Art. 9 Attività di competenza dell’Ente aderente</w:t>
      </w:r>
    </w:p>
    <w:p w14:paraId="4894D809" w14:textId="77777777" w:rsidR="00F0329B" w:rsidRDefault="00206A24">
      <w:pPr>
        <w:pStyle w:val="Paragrafoelenco"/>
        <w:numPr>
          <w:ilvl w:val="0"/>
          <w:numId w:val="14"/>
        </w:numPr>
        <w:jc w:val="both"/>
        <w:rPr>
          <w:rFonts w:cs="Times New Roman"/>
        </w:rPr>
      </w:pPr>
      <w:r>
        <w:rPr>
          <w:rFonts w:cs="Times New Roman"/>
          <w:sz w:val="28"/>
          <w:szCs w:val="28"/>
        </w:rPr>
        <w:t>L’Ente aderente è titolare, ad ogni fine, dell’intervento di acquisizione dell’opera, bene o servizio, essendo demandate alla S.U.A. unicamente funzioni strumentali all’individuazione del terzo contraente. In particolare, restano di competenza del singolo Ente Aderente:</w:t>
      </w:r>
    </w:p>
    <w:p w14:paraId="1130BC0C" w14:textId="77777777" w:rsidR="00F0329B" w:rsidRDefault="00206A24">
      <w:pPr>
        <w:pStyle w:val="Paragrafoelenco"/>
        <w:numPr>
          <w:ilvl w:val="1"/>
          <w:numId w:val="14"/>
        </w:numPr>
        <w:ind w:left="426"/>
        <w:jc w:val="both"/>
        <w:rPr>
          <w:rFonts w:cs="Times New Roman"/>
        </w:rPr>
      </w:pPr>
      <w:r>
        <w:rPr>
          <w:rFonts w:cs="Times New Roman"/>
          <w:sz w:val="28"/>
          <w:szCs w:val="28"/>
        </w:rPr>
        <w:t>la trasmissione alla S.U.A. dei propri fabbisogni, secondo quanto definito dall’art. 6, e l’inserimento nei propri atti di programmazione, ove richiesto;</w:t>
      </w:r>
    </w:p>
    <w:p w14:paraId="15AAC59E" w14:textId="77777777" w:rsidR="00F0329B" w:rsidRDefault="00206A24">
      <w:pPr>
        <w:pStyle w:val="Paragrafoelenco"/>
        <w:numPr>
          <w:ilvl w:val="1"/>
          <w:numId w:val="14"/>
        </w:numPr>
        <w:ind w:left="426"/>
        <w:jc w:val="both"/>
        <w:rPr>
          <w:rFonts w:cs="Times New Roman"/>
        </w:rPr>
      </w:pPr>
      <w:r>
        <w:rPr>
          <w:rFonts w:cs="Times New Roman"/>
          <w:sz w:val="28"/>
          <w:szCs w:val="28"/>
        </w:rPr>
        <w:t>la definizione dell’oggetto contrattuale (lavori, servizi, forniture) e la trasmissione alla S.U.A. di tutti i dati e le informazioni necessarie per assicurare che gli atti di gara siano conformi alle esigenze dell’Ente, in particolare per quanto concerne la descrizione delle caratteristiche del bene, servizio o lavoro che si intende acquisire e le obbligazioni dell’aggiudicatario;</w:t>
      </w:r>
    </w:p>
    <w:p w14:paraId="536C0D26" w14:textId="77777777" w:rsidR="00F0329B" w:rsidRDefault="00206A24">
      <w:pPr>
        <w:pStyle w:val="Paragrafoelenco"/>
        <w:numPr>
          <w:ilvl w:val="1"/>
          <w:numId w:val="14"/>
        </w:numPr>
        <w:ind w:left="426"/>
        <w:jc w:val="both"/>
        <w:rPr>
          <w:rFonts w:cs="Times New Roman"/>
        </w:rPr>
      </w:pPr>
      <w:r>
        <w:rPr>
          <w:rFonts w:cs="Times New Roman"/>
          <w:sz w:val="28"/>
          <w:szCs w:val="28"/>
        </w:rPr>
        <w:t>la nomina del responsabile Unico del Progetto (RUP) ai sensi dell’art. 15 del d.lgs. 36/2023;</w:t>
      </w:r>
    </w:p>
    <w:p w14:paraId="734140F8" w14:textId="77777777" w:rsidR="00F0329B" w:rsidRDefault="00206A24">
      <w:pPr>
        <w:pStyle w:val="Paragrafoelenco"/>
        <w:numPr>
          <w:ilvl w:val="1"/>
          <w:numId w:val="14"/>
        </w:numPr>
        <w:ind w:left="426"/>
        <w:jc w:val="both"/>
        <w:rPr>
          <w:rFonts w:cs="Times New Roman"/>
        </w:rPr>
      </w:pPr>
      <w:r>
        <w:rPr>
          <w:rFonts w:cs="Times New Roman"/>
          <w:sz w:val="28"/>
          <w:szCs w:val="28"/>
        </w:rPr>
        <w:t>l’acquisizione del CUP e CUI;</w:t>
      </w:r>
    </w:p>
    <w:p w14:paraId="296665F4" w14:textId="77777777" w:rsidR="00F0329B" w:rsidRDefault="00206A24">
      <w:pPr>
        <w:pStyle w:val="Paragrafoelenco"/>
        <w:numPr>
          <w:ilvl w:val="1"/>
          <w:numId w:val="14"/>
        </w:numPr>
        <w:ind w:left="426"/>
        <w:jc w:val="both"/>
        <w:rPr>
          <w:rFonts w:cs="Times New Roman"/>
        </w:rPr>
      </w:pPr>
      <w:r>
        <w:rPr>
          <w:rFonts w:cs="Times New Roman"/>
          <w:sz w:val="28"/>
          <w:szCs w:val="28"/>
        </w:rPr>
        <w:t>l’individuazione delle fonti di finanziamento per le prestazioni e gli oneri procedurali (compresi gli eventuali emolumenti da corrispondere ad esperti esterni chiamati a fare parte delle Commissioni giudicatrici);</w:t>
      </w:r>
    </w:p>
    <w:p w14:paraId="5861FEDB" w14:textId="77777777" w:rsidR="00F0329B" w:rsidRDefault="00206A24">
      <w:pPr>
        <w:pStyle w:val="Paragrafoelenco"/>
        <w:numPr>
          <w:ilvl w:val="1"/>
          <w:numId w:val="14"/>
        </w:numPr>
        <w:ind w:left="426"/>
        <w:jc w:val="both"/>
        <w:rPr>
          <w:rFonts w:cs="Times New Roman"/>
        </w:rPr>
      </w:pPr>
      <w:r>
        <w:rPr>
          <w:rFonts w:cs="Times New Roman"/>
          <w:sz w:val="28"/>
          <w:szCs w:val="28"/>
        </w:rPr>
        <w:t>l’approvazione del progetto da porre a base di gara, nel livello di definizione richiesto a seconda del tipo di procedura;</w:t>
      </w:r>
    </w:p>
    <w:p w14:paraId="427B00C2" w14:textId="77777777" w:rsidR="00F0329B" w:rsidRDefault="00206A24">
      <w:pPr>
        <w:pStyle w:val="Paragrafoelenco"/>
        <w:numPr>
          <w:ilvl w:val="1"/>
          <w:numId w:val="14"/>
        </w:numPr>
        <w:ind w:left="426"/>
        <w:jc w:val="both"/>
        <w:rPr>
          <w:rFonts w:cs="Times New Roman"/>
          <w:sz w:val="28"/>
          <w:szCs w:val="28"/>
        </w:rPr>
      </w:pPr>
      <w:r>
        <w:rPr>
          <w:rFonts w:cs="Times New Roman"/>
          <w:sz w:val="28"/>
          <w:szCs w:val="28"/>
        </w:rPr>
        <w:t>l’approvazione della Determina a contrarre con la quale è individuato il criterio di selezione del contraente e sono approvati i documenti a base di gara (elaborati progettuali, capitolato speciale d’appalto, schema di contratto, criteri di valutazione delle offerte nel caso di offerta economicamente più vantaggiosa e i requisiti di ordine speciale richiesti per la partecipazione alla gara);</w:t>
      </w:r>
    </w:p>
    <w:p w14:paraId="03D8ED38" w14:textId="77777777" w:rsidR="00F0329B" w:rsidRDefault="00206A24">
      <w:pPr>
        <w:pStyle w:val="Paragrafoelenco"/>
        <w:numPr>
          <w:ilvl w:val="1"/>
          <w:numId w:val="14"/>
        </w:numPr>
        <w:ind w:left="426"/>
        <w:jc w:val="both"/>
        <w:rPr>
          <w:rFonts w:cs="Times New Roman"/>
          <w:sz w:val="28"/>
          <w:szCs w:val="28"/>
        </w:rPr>
      </w:pPr>
      <w:r>
        <w:rPr>
          <w:rFonts w:cs="Times New Roman"/>
          <w:sz w:val="28"/>
          <w:szCs w:val="28"/>
        </w:rPr>
        <w:lastRenderedPageBreak/>
        <w:t>la formalizzazione degli impegni di spesa relativi all’affidamento, anche per le spese di pubblicazione ed il contributo ANAC, che restano di competenza dell’Ente aderente;</w:t>
      </w:r>
    </w:p>
    <w:p w14:paraId="34112F8C" w14:textId="77777777" w:rsidR="00F0329B" w:rsidRDefault="00206A24">
      <w:pPr>
        <w:pStyle w:val="Paragrafoelenco"/>
        <w:numPr>
          <w:ilvl w:val="1"/>
          <w:numId w:val="14"/>
        </w:numPr>
        <w:ind w:left="426"/>
        <w:jc w:val="both"/>
        <w:rPr>
          <w:rFonts w:cs="Times New Roman"/>
        </w:rPr>
      </w:pPr>
      <w:r>
        <w:rPr>
          <w:rFonts w:cs="Times New Roman"/>
          <w:sz w:val="28"/>
          <w:szCs w:val="28"/>
        </w:rPr>
        <w:t>l’individuazione dei soggetti da nominare quali componenti dell’eventuale Seggio di gara e quali componenti esperti della Commissione di Gara ai fini della successiva formalizzazione con apposito atto di nomina da parte della S.U.A., salvo diverso accordo in occasione della specifica procedura;</w:t>
      </w:r>
    </w:p>
    <w:p w14:paraId="1259DC2A" w14:textId="77777777" w:rsidR="00F0329B" w:rsidRDefault="00206A24">
      <w:pPr>
        <w:pStyle w:val="Paragrafoelenco"/>
        <w:numPr>
          <w:ilvl w:val="1"/>
          <w:numId w:val="14"/>
        </w:numPr>
        <w:ind w:left="426"/>
        <w:jc w:val="both"/>
        <w:rPr>
          <w:rFonts w:cs="Times New Roman"/>
          <w:sz w:val="28"/>
          <w:szCs w:val="28"/>
        </w:rPr>
      </w:pPr>
      <w:r>
        <w:rPr>
          <w:rFonts w:cs="Times New Roman"/>
          <w:sz w:val="28"/>
          <w:szCs w:val="28"/>
        </w:rPr>
        <w:t>la messa a disposizione del proprio personale in orario di servizio per lo svolgimento della gara e la partecipazione alle commissioni di gara proprie e di altri Enti aderenti;</w:t>
      </w:r>
    </w:p>
    <w:p w14:paraId="1C5FE39E" w14:textId="77777777" w:rsidR="00F0329B" w:rsidRDefault="00206A24">
      <w:pPr>
        <w:pStyle w:val="Paragrafoelenco"/>
        <w:numPr>
          <w:ilvl w:val="1"/>
          <w:numId w:val="14"/>
        </w:numPr>
        <w:ind w:left="426"/>
        <w:jc w:val="both"/>
        <w:rPr>
          <w:rFonts w:cs="Times New Roman"/>
        </w:rPr>
      </w:pPr>
      <w:r>
        <w:rPr>
          <w:rFonts w:cs="Times New Roman"/>
          <w:sz w:val="28"/>
          <w:szCs w:val="28"/>
        </w:rPr>
        <w:t>l’individuazione degli operatori economici da invitare nelle procedure negoziate secondo le modalità stabilite dagli artt. 50 e 76 del Codice, o comunque dalla normativa rilevante per le procedure a invito, salvo diverso accordo in occasione della singola procedura;</w:t>
      </w:r>
    </w:p>
    <w:p w14:paraId="25ABEC42" w14:textId="77777777" w:rsidR="00F0329B" w:rsidRDefault="00206A24">
      <w:pPr>
        <w:pStyle w:val="Paragrafoelenco"/>
        <w:numPr>
          <w:ilvl w:val="1"/>
          <w:numId w:val="14"/>
        </w:numPr>
        <w:ind w:left="426"/>
        <w:jc w:val="both"/>
        <w:rPr>
          <w:rFonts w:cs="Times New Roman"/>
          <w:sz w:val="28"/>
          <w:szCs w:val="28"/>
        </w:rPr>
      </w:pPr>
      <w:r>
        <w:rPr>
          <w:rFonts w:cs="Times New Roman"/>
          <w:sz w:val="28"/>
          <w:szCs w:val="28"/>
        </w:rPr>
        <w:t>l’approvazione del provvedimento di aggiudicazione sulla base della proposta formulata dalla S.U.A.;</w:t>
      </w:r>
    </w:p>
    <w:p w14:paraId="4F935ADF" w14:textId="77777777" w:rsidR="00F0329B" w:rsidRDefault="00206A24">
      <w:pPr>
        <w:pStyle w:val="Paragrafoelenco"/>
        <w:numPr>
          <w:ilvl w:val="1"/>
          <w:numId w:val="14"/>
        </w:numPr>
        <w:ind w:left="426"/>
        <w:jc w:val="both"/>
        <w:rPr>
          <w:rFonts w:cs="Times New Roman"/>
          <w:sz w:val="28"/>
          <w:szCs w:val="28"/>
        </w:rPr>
      </w:pPr>
      <w:r>
        <w:rPr>
          <w:rFonts w:cs="Times New Roman"/>
          <w:sz w:val="28"/>
          <w:szCs w:val="28"/>
        </w:rPr>
        <w:t>i rapporti con l’ANAC e le comunicazioni all’Osservatorio sui Contratti Pubblici, nonché le pubblicazioni, sul proprio sito Amministrazione Trasparente, per gli atti di propria competenza, previste dal d.lgs. n. 33/2013 e dalla legge 190/2012;</w:t>
      </w:r>
    </w:p>
    <w:p w14:paraId="6311EE02" w14:textId="77777777" w:rsidR="00F0329B" w:rsidRDefault="00206A24">
      <w:pPr>
        <w:pStyle w:val="Paragrafoelenco"/>
        <w:numPr>
          <w:ilvl w:val="1"/>
          <w:numId w:val="14"/>
        </w:numPr>
        <w:ind w:left="426"/>
        <w:jc w:val="both"/>
        <w:rPr>
          <w:rFonts w:cs="Times New Roman"/>
          <w:sz w:val="28"/>
          <w:szCs w:val="28"/>
        </w:rPr>
      </w:pPr>
      <w:r>
        <w:rPr>
          <w:rFonts w:cs="Times New Roman"/>
          <w:sz w:val="28"/>
          <w:szCs w:val="28"/>
        </w:rPr>
        <w:t>la stipula del contratto e la gestione della fase di esecuzione dello stesso, in particolare con riferimento alle fasi di: consegna, collaudo/verifica di conformità, tenuta della contabilità, pagamento dei corrispettivi, adempimenti da effettuare sul sito ANAC, comunicazioni all’Osservatorio Regionale dei Contratti e tutte le comunicazioni successive alla fase di inizio delle attività.</w:t>
      </w:r>
    </w:p>
    <w:p w14:paraId="41E4AA21" w14:textId="77777777" w:rsidR="00F0329B" w:rsidRDefault="00F0329B">
      <w:pPr>
        <w:rPr>
          <w:rFonts w:cs="Times New Roman"/>
          <w:sz w:val="28"/>
          <w:szCs w:val="28"/>
        </w:rPr>
      </w:pPr>
    </w:p>
    <w:p w14:paraId="7C5F80F0" w14:textId="77777777" w:rsidR="00F0329B" w:rsidRDefault="00206A24">
      <w:pPr>
        <w:pStyle w:val="Titolo1"/>
        <w:rPr>
          <w:rFonts w:ascii="Times New Roman" w:hAnsi="Times New Roman" w:cs="Times New Roman"/>
        </w:rPr>
      </w:pPr>
      <w:bookmarkStart w:id="43" w:name="_Toc178327393"/>
      <w:bookmarkStart w:id="44" w:name="_Toc102362479"/>
      <w:bookmarkEnd w:id="43"/>
      <w:bookmarkEnd w:id="44"/>
      <w:r>
        <w:rPr>
          <w:rFonts w:ascii="Times New Roman" w:hAnsi="Times New Roman" w:cs="Times New Roman"/>
        </w:rPr>
        <w:t>Art. 10 Procedure aggregate ed eventuali ulteriori attività della S.U.A.</w:t>
      </w:r>
    </w:p>
    <w:p w14:paraId="76E265EE" w14:textId="77777777" w:rsidR="00F0329B" w:rsidRDefault="00206A24">
      <w:pPr>
        <w:pStyle w:val="Paragrafoelenco"/>
        <w:numPr>
          <w:ilvl w:val="0"/>
          <w:numId w:val="15"/>
        </w:numPr>
        <w:jc w:val="both"/>
        <w:rPr>
          <w:rFonts w:cs="Times New Roman"/>
          <w:sz w:val="28"/>
          <w:szCs w:val="28"/>
        </w:rPr>
      </w:pPr>
      <w:r>
        <w:rPr>
          <w:rFonts w:cs="Times New Roman"/>
          <w:sz w:val="28"/>
          <w:szCs w:val="28"/>
        </w:rPr>
        <w:t>In caso di svolgimento di procedura aggregata, volta a soddisfare i fabbisogni di due o più Enti aderenti, la S.U.A. coordina la fase di preparazione degli atti di gara, assicurando la collaborazione degli Enti aderenti interessati, al fine di assicurare che gli atti di gara siano conformi alle esigenze di ciascuno.</w:t>
      </w:r>
    </w:p>
    <w:p w14:paraId="666D4748" w14:textId="77777777" w:rsidR="00F0329B" w:rsidRDefault="00206A24">
      <w:pPr>
        <w:pStyle w:val="Paragrafoelenco"/>
        <w:numPr>
          <w:ilvl w:val="0"/>
          <w:numId w:val="15"/>
        </w:numPr>
        <w:jc w:val="both"/>
        <w:rPr>
          <w:rFonts w:cs="Times New Roman"/>
          <w:sz w:val="28"/>
          <w:szCs w:val="28"/>
        </w:rPr>
      </w:pPr>
      <w:r>
        <w:rPr>
          <w:rFonts w:cs="Times New Roman"/>
          <w:sz w:val="28"/>
          <w:szCs w:val="28"/>
        </w:rPr>
        <w:t>La S.U.A. può decidere di non procedere allo svolgimento di una procedura aggregata, in caso di mancato o insufficiente accordo fra gli Enti aderenti interessati.</w:t>
      </w:r>
    </w:p>
    <w:p w14:paraId="09547DAF" w14:textId="77777777" w:rsidR="00F0329B" w:rsidRDefault="00206A24">
      <w:pPr>
        <w:pStyle w:val="Paragrafoelenco"/>
        <w:numPr>
          <w:ilvl w:val="0"/>
          <w:numId w:val="15"/>
        </w:numPr>
        <w:jc w:val="both"/>
        <w:rPr>
          <w:rFonts w:cs="Times New Roman"/>
          <w:sz w:val="28"/>
          <w:szCs w:val="28"/>
        </w:rPr>
      </w:pPr>
      <w:r>
        <w:rPr>
          <w:rFonts w:cs="Times New Roman"/>
          <w:sz w:val="28"/>
          <w:szCs w:val="28"/>
        </w:rPr>
        <w:t>Si applicano i commi 7, 12 e 13 dell’articolo 62 del d.lgs. 36/2023 e i pertinenti articoli previsti dalla presente Convenzione, con riferimento a tutti gli Enti aderenti interessati alla procedura.</w:t>
      </w:r>
    </w:p>
    <w:p w14:paraId="096664F7" w14:textId="77777777" w:rsidR="00F0329B" w:rsidRDefault="00206A24">
      <w:pPr>
        <w:pStyle w:val="Paragrafoelenco"/>
        <w:numPr>
          <w:ilvl w:val="0"/>
          <w:numId w:val="15"/>
        </w:numPr>
        <w:jc w:val="both"/>
        <w:rPr>
          <w:rFonts w:cs="Times New Roman"/>
          <w:sz w:val="28"/>
          <w:szCs w:val="28"/>
        </w:rPr>
      </w:pPr>
      <w:r>
        <w:rPr>
          <w:rFonts w:cs="Times New Roman"/>
          <w:sz w:val="28"/>
          <w:szCs w:val="28"/>
        </w:rPr>
        <w:t>L’onere del rimborso delle spese di pubblicazione, per il contributo ANAC e per gli incentivi tecnici è ripartito tra gli Enti medesimi proporzionalmente al peso percentuale della parte di affidamento di propria competenza, sul complessivo importo a base di gara.</w:t>
      </w:r>
    </w:p>
    <w:p w14:paraId="383C08A9" w14:textId="77777777" w:rsidR="00F0329B" w:rsidRDefault="00F0329B">
      <w:pPr>
        <w:rPr>
          <w:rFonts w:cs="Times New Roman"/>
          <w:b/>
          <w:bCs/>
          <w:sz w:val="28"/>
          <w:szCs w:val="28"/>
          <w:highlight w:val="yellow"/>
        </w:rPr>
      </w:pPr>
    </w:p>
    <w:p w14:paraId="72250652" w14:textId="77777777" w:rsidR="00F0329B" w:rsidRDefault="00206A24">
      <w:pPr>
        <w:pStyle w:val="Titolo1"/>
        <w:rPr>
          <w:rFonts w:ascii="Times New Roman" w:hAnsi="Times New Roman" w:cs="Times New Roman"/>
        </w:rPr>
      </w:pPr>
      <w:bookmarkStart w:id="45" w:name="_Toc178327394"/>
      <w:bookmarkStart w:id="46" w:name="_Toc102362480"/>
      <w:bookmarkEnd w:id="45"/>
      <w:bookmarkEnd w:id="46"/>
      <w:r>
        <w:rPr>
          <w:rFonts w:ascii="Times New Roman" w:hAnsi="Times New Roman" w:cs="Times New Roman"/>
        </w:rPr>
        <w:t>Art. 11 Interventi finanziati attraverso il PNRR o il PNC</w:t>
      </w:r>
    </w:p>
    <w:p w14:paraId="11706A35" w14:textId="77777777" w:rsidR="00F0329B" w:rsidRDefault="00206A24">
      <w:pPr>
        <w:pStyle w:val="Paragrafoelenco"/>
        <w:numPr>
          <w:ilvl w:val="0"/>
          <w:numId w:val="17"/>
        </w:numPr>
        <w:jc w:val="both"/>
        <w:rPr>
          <w:rFonts w:cs="Times New Roman"/>
          <w:sz w:val="28"/>
          <w:szCs w:val="28"/>
        </w:rPr>
      </w:pPr>
      <w:r>
        <w:rPr>
          <w:rFonts w:cs="Times New Roman"/>
          <w:sz w:val="28"/>
          <w:szCs w:val="28"/>
        </w:rPr>
        <w:t>Per quanto riguarda gli investimenti pubblici finanziati, in tutto o in parte, con le risorse previste dal PNRR, nonché dalle risorse del Piano nazionale per gli investimenti complementari (PNC), si osservano queste disposizioni aggiuntive:</w:t>
      </w:r>
    </w:p>
    <w:p w14:paraId="20A734D2" w14:textId="77777777" w:rsidR="00F0329B" w:rsidRDefault="00206A24">
      <w:pPr>
        <w:pStyle w:val="Paragrafoelenco"/>
        <w:numPr>
          <w:ilvl w:val="1"/>
          <w:numId w:val="16"/>
        </w:numPr>
        <w:jc w:val="both"/>
        <w:rPr>
          <w:rFonts w:cs="Times New Roman"/>
          <w:sz w:val="28"/>
          <w:szCs w:val="28"/>
        </w:rPr>
      </w:pPr>
      <w:r>
        <w:rPr>
          <w:rFonts w:cs="Times New Roman"/>
          <w:sz w:val="28"/>
          <w:szCs w:val="28"/>
        </w:rPr>
        <w:lastRenderedPageBreak/>
        <w:t>è responsabilità dell’Ente aderente comunicare alla S.U.A. se un determinato intervento sia finanziato in tutto o in parte con le suddette risorse e condividere con la S.U.A. i documenti di finanziamento, nonché i dati e le informazioni necessarie per assicurare che le procedure siano progettate e svolte in conformità a quanto richiesto dalla normativa rilevante e dalle condizioni di finanziamento;</w:t>
      </w:r>
    </w:p>
    <w:p w14:paraId="49A20D4B" w14:textId="77777777" w:rsidR="00F0329B" w:rsidRDefault="00206A24">
      <w:pPr>
        <w:pStyle w:val="Paragrafoelenco"/>
        <w:numPr>
          <w:ilvl w:val="1"/>
          <w:numId w:val="16"/>
        </w:numPr>
        <w:jc w:val="both"/>
        <w:rPr>
          <w:rFonts w:cs="Times New Roman"/>
          <w:sz w:val="28"/>
          <w:szCs w:val="28"/>
        </w:rPr>
      </w:pPr>
      <w:r>
        <w:rPr>
          <w:rFonts w:cs="Times New Roman"/>
          <w:sz w:val="28"/>
          <w:szCs w:val="28"/>
        </w:rPr>
        <w:t>la S.U.A. tiene conto delle tempistiche stabilite dai finanziamenti nella definizione del Calendario degli affidamenti e nello svolgimento delle procedure, al fine di assicurare il rispetto delle scadenze rilevanti;</w:t>
      </w:r>
    </w:p>
    <w:p w14:paraId="68E4C824" w14:textId="77777777" w:rsidR="00F0329B" w:rsidRDefault="00206A24">
      <w:pPr>
        <w:pStyle w:val="Paragrafoelenco"/>
        <w:numPr>
          <w:ilvl w:val="1"/>
          <w:numId w:val="16"/>
        </w:numPr>
        <w:jc w:val="both"/>
        <w:rPr>
          <w:rFonts w:cs="Times New Roman"/>
        </w:rPr>
      </w:pPr>
      <w:r>
        <w:rPr>
          <w:rFonts w:cs="Times New Roman"/>
          <w:sz w:val="28"/>
          <w:szCs w:val="28"/>
        </w:rPr>
        <w:t xml:space="preserve">nella definizione degli atti di gara la S.U.A. e l’Ente aderente, ciascuno per le proprie competenze, garantiscono la conformità degli atti di gara ai requisiti normativi rilevanti, tra cui in particolare l’inserimento dei criteri premiali indicati dal legislatore per la promozione delle pari opportunità e dell’inclusione lavorativa nei contratti pubblici di cui agli artt. 47 e segg. del </w:t>
      </w:r>
      <w:proofErr w:type="spellStart"/>
      <w:r>
        <w:rPr>
          <w:rFonts w:cs="Times New Roman"/>
          <w:sz w:val="28"/>
          <w:szCs w:val="28"/>
        </w:rPr>
        <w:t>d.l.</w:t>
      </w:r>
      <w:proofErr w:type="spellEnd"/>
      <w:r>
        <w:rPr>
          <w:rFonts w:cs="Times New Roman"/>
          <w:sz w:val="28"/>
          <w:szCs w:val="28"/>
        </w:rPr>
        <w:t xml:space="preserve"> 31 maggio 2021, n. 77 coordinato con la Legge di conversione 29 luglio 2021, n. 108, nonché il premio di accelerazione e le penali per i ritardi previsti rispettivamente dall’art. 50 e dell’art. 47 del </w:t>
      </w:r>
      <w:proofErr w:type="spellStart"/>
      <w:r>
        <w:rPr>
          <w:rFonts w:cs="Times New Roman"/>
          <w:sz w:val="28"/>
          <w:szCs w:val="28"/>
        </w:rPr>
        <w:t>d.l.</w:t>
      </w:r>
      <w:proofErr w:type="spellEnd"/>
      <w:r>
        <w:rPr>
          <w:rFonts w:cs="Times New Roman"/>
          <w:sz w:val="28"/>
          <w:szCs w:val="28"/>
        </w:rPr>
        <w:t xml:space="preserve"> 77/2021;</w:t>
      </w:r>
    </w:p>
    <w:p w14:paraId="2BDEFB60" w14:textId="77777777" w:rsidR="00F0329B" w:rsidRDefault="00206A24">
      <w:pPr>
        <w:pStyle w:val="Paragrafoelenco"/>
        <w:numPr>
          <w:ilvl w:val="1"/>
          <w:numId w:val="16"/>
        </w:numPr>
        <w:jc w:val="both"/>
        <w:rPr>
          <w:rFonts w:cs="Times New Roman"/>
          <w:sz w:val="28"/>
          <w:szCs w:val="28"/>
        </w:rPr>
      </w:pPr>
      <w:r>
        <w:rPr>
          <w:rFonts w:cs="Times New Roman"/>
          <w:sz w:val="28"/>
          <w:szCs w:val="28"/>
        </w:rPr>
        <w:t>all’atto di approvazione degli atti di gara, l’Ente aderente verifica la conformità degli stessi rispetto alle condizioni di finanziamento;</w:t>
      </w:r>
    </w:p>
    <w:p w14:paraId="245E53BD" w14:textId="77777777" w:rsidR="00F0329B" w:rsidRDefault="00206A24">
      <w:pPr>
        <w:pStyle w:val="Paragrafoelenco"/>
        <w:numPr>
          <w:ilvl w:val="1"/>
          <w:numId w:val="16"/>
        </w:numPr>
        <w:jc w:val="both"/>
        <w:rPr>
          <w:rFonts w:cs="Times New Roman"/>
          <w:sz w:val="28"/>
          <w:szCs w:val="28"/>
        </w:rPr>
      </w:pPr>
      <w:r>
        <w:rPr>
          <w:rFonts w:cs="Times New Roman"/>
          <w:sz w:val="28"/>
          <w:szCs w:val="28"/>
        </w:rPr>
        <w:t xml:space="preserve">l’Ente aderente nomina il RUP che svolge le funzioni di cui all’art. 48, comma 2 del </w:t>
      </w:r>
      <w:proofErr w:type="spellStart"/>
      <w:r>
        <w:rPr>
          <w:rFonts w:cs="Times New Roman"/>
          <w:sz w:val="28"/>
          <w:szCs w:val="28"/>
        </w:rPr>
        <w:t>d.l.</w:t>
      </w:r>
      <w:proofErr w:type="spellEnd"/>
      <w:r>
        <w:rPr>
          <w:rFonts w:cs="Times New Roman"/>
          <w:sz w:val="28"/>
          <w:szCs w:val="28"/>
        </w:rPr>
        <w:t xml:space="preserve"> 77/2021 e, in caso di sua inerzia, assicura che sia esercitato il potere sostitutivo di cui all’art. 50, comma 2 del </w:t>
      </w:r>
      <w:proofErr w:type="spellStart"/>
      <w:r>
        <w:rPr>
          <w:rFonts w:cs="Times New Roman"/>
          <w:sz w:val="28"/>
          <w:szCs w:val="28"/>
        </w:rPr>
        <w:t>d.l.</w:t>
      </w:r>
      <w:proofErr w:type="spellEnd"/>
      <w:r>
        <w:rPr>
          <w:rFonts w:cs="Times New Roman"/>
          <w:sz w:val="28"/>
          <w:szCs w:val="28"/>
        </w:rPr>
        <w:t xml:space="preserve"> 77/2021;</w:t>
      </w:r>
    </w:p>
    <w:p w14:paraId="51BF4689" w14:textId="77777777" w:rsidR="00F0329B" w:rsidRDefault="00206A24">
      <w:pPr>
        <w:pStyle w:val="Paragrafoelenco"/>
        <w:numPr>
          <w:ilvl w:val="1"/>
          <w:numId w:val="16"/>
        </w:numPr>
        <w:jc w:val="both"/>
        <w:rPr>
          <w:rFonts w:cs="Times New Roman"/>
        </w:rPr>
      </w:pPr>
      <w:r>
        <w:rPr>
          <w:rFonts w:cs="Times New Roman"/>
          <w:sz w:val="28"/>
          <w:szCs w:val="28"/>
        </w:rPr>
        <w:t>l’Ente aderente convoca la conferenza di servizi di cui all’art. 14 della l. 241/1990, nei casi in cui sia richiesta per l’approvazione del Progetto da porre e base di gara;</w:t>
      </w:r>
    </w:p>
    <w:p w14:paraId="3201DD8C" w14:textId="77777777" w:rsidR="00F0329B" w:rsidRDefault="00206A24">
      <w:pPr>
        <w:pStyle w:val="Paragrafoelenco"/>
        <w:numPr>
          <w:ilvl w:val="1"/>
          <w:numId w:val="16"/>
        </w:numPr>
        <w:jc w:val="both"/>
        <w:rPr>
          <w:rFonts w:cs="Times New Roman"/>
        </w:rPr>
      </w:pPr>
      <w:r>
        <w:rPr>
          <w:rFonts w:cs="Times New Roman"/>
          <w:sz w:val="28"/>
          <w:szCs w:val="28"/>
        </w:rPr>
        <w:t xml:space="preserve">in caso di svolgimento di procedure negoziate di cui all’art. 76 del Codice appalti nei casi previsti dall’art. 48 del </w:t>
      </w:r>
      <w:proofErr w:type="spellStart"/>
      <w:r>
        <w:rPr>
          <w:rFonts w:cs="Times New Roman"/>
          <w:sz w:val="28"/>
          <w:szCs w:val="28"/>
        </w:rPr>
        <w:t>d.l.</w:t>
      </w:r>
      <w:proofErr w:type="spellEnd"/>
      <w:r>
        <w:rPr>
          <w:rFonts w:cs="Times New Roman"/>
          <w:sz w:val="28"/>
          <w:szCs w:val="28"/>
        </w:rPr>
        <w:t xml:space="preserve"> 77/2021, l’avviso di cui all’art. 48 comma 3 è pubblicato dall’Ente aderente sul proprio sito istituzionale.</w:t>
      </w:r>
    </w:p>
    <w:p w14:paraId="0C9D0D4B" w14:textId="77777777" w:rsidR="00F0329B" w:rsidRDefault="00F0329B">
      <w:pPr>
        <w:rPr>
          <w:rFonts w:cs="Times New Roman"/>
          <w:sz w:val="28"/>
          <w:szCs w:val="28"/>
        </w:rPr>
      </w:pPr>
    </w:p>
    <w:p w14:paraId="0013AA07" w14:textId="77777777" w:rsidR="00F0329B" w:rsidRDefault="00206A24">
      <w:pPr>
        <w:pStyle w:val="Titolo1"/>
        <w:rPr>
          <w:rFonts w:ascii="Times New Roman" w:hAnsi="Times New Roman" w:cs="Times New Roman"/>
        </w:rPr>
      </w:pPr>
      <w:bookmarkStart w:id="47" w:name="_Toc178327395"/>
      <w:bookmarkStart w:id="48" w:name="_Toc101427723"/>
      <w:bookmarkStart w:id="49" w:name="_Toc102362481"/>
      <w:bookmarkEnd w:id="47"/>
      <w:bookmarkEnd w:id="48"/>
      <w:bookmarkEnd w:id="49"/>
      <w:r>
        <w:rPr>
          <w:rFonts w:ascii="Times New Roman" w:hAnsi="Times New Roman" w:cs="Times New Roman"/>
        </w:rPr>
        <w:t>Art. 12 Spese di funzionamento e rapporti finanziari</w:t>
      </w:r>
    </w:p>
    <w:p w14:paraId="0D6E6F5D" w14:textId="77777777" w:rsidR="00F0329B" w:rsidRDefault="00206A24">
      <w:pPr>
        <w:pStyle w:val="Paragrafoelenco"/>
        <w:numPr>
          <w:ilvl w:val="0"/>
          <w:numId w:val="18"/>
        </w:numPr>
        <w:jc w:val="both"/>
        <w:rPr>
          <w:rFonts w:cs="Times New Roman"/>
          <w:sz w:val="28"/>
          <w:szCs w:val="28"/>
        </w:rPr>
      </w:pPr>
      <w:r>
        <w:rPr>
          <w:rFonts w:cs="Times New Roman"/>
          <w:sz w:val="28"/>
          <w:szCs w:val="28"/>
        </w:rPr>
        <w:t>Le risorse finanziarie per la gestione associata delle funzioni previste nella presente convenzione, anche per singole procedure di gara e in caso di supporto, sono sostenute con la partecipazione degli Enti Aderenti, come precisato nei commi seguenti.</w:t>
      </w:r>
    </w:p>
    <w:p w14:paraId="60B30BB1" w14:textId="77777777" w:rsidR="00F0329B" w:rsidRDefault="00206A24">
      <w:pPr>
        <w:pStyle w:val="Paragrafoelenco"/>
        <w:numPr>
          <w:ilvl w:val="0"/>
          <w:numId w:val="18"/>
        </w:numPr>
        <w:jc w:val="both"/>
        <w:rPr>
          <w:rFonts w:cs="Times New Roman"/>
          <w:sz w:val="28"/>
          <w:szCs w:val="28"/>
        </w:rPr>
      </w:pPr>
      <w:r>
        <w:rPr>
          <w:rFonts w:cs="Times New Roman"/>
          <w:sz w:val="28"/>
          <w:szCs w:val="28"/>
        </w:rPr>
        <w:t>L’Ente aderente riconosce che sono dovuti gli incentivi per le funzioni tecniche di cui alla vigente normativa nella misura del 25% di quanto previsto dall’art. 45, comma 2, del d.lgs. 36/2023 (che include la quota del 20% del comma 5), come statuito dal comma 8 del medesimo articolo.</w:t>
      </w:r>
    </w:p>
    <w:p w14:paraId="4FD462AE" w14:textId="77777777" w:rsidR="00F0329B" w:rsidRDefault="00206A24">
      <w:pPr>
        <w:pStyle w:val="Paragrafoelenco"/>
        <w:numPr>
          <w:ilvl w:val="0"/>
          <w:numId w:val="18"/>
        </w:numPr>
        <w:jc w:val="both"/>
        <w:rPr>
          <w:rFonts w:cs="Times New Roman"/>
          <w:sz w:val="28"/>
          <w:szCs w:val="28"/>
        </w:rPr>
      </w:pPr>
      <w:r>
        <w:rPr>
          <w:rFonts w:cs="Times New Roman"/>
          <w:sz w:val="28"/>
          <w:szCs w:val="28"/>
        </w:rPr>
        <w:t>La ripartizione di tali incentivi sarà regolata con atto interno della S.U.A. Se necessario, l’Ente Aderente adegua il proprio regolamento interno a quanto ivi previsto.</w:t>
      </w:r>
    </w:p>
    <w:p w14:paraId="21DA8B9F" w14:textId="77777777" w:rsidR="00F0329B" w:rsidRDefault="00206A24">
      <w:pPr>
        <w:pStyle w:val="Paragrafoelenco"/>
        <w:numPr>
          <w:ilvl w:val="0"/>
          <w:numId w:val="18"/>
        </w:numPr>
        <w:jc w:val="both"/>
        <w:rPr>
          <w:rFonts w:cs="Times New Roman"/>
        </w:rPr>
      </w:pPr>
      <w:r>
        <w:rPr>
          <w:rFonts w:cs="Times New Roman"/>
          <w:sz w:val="28"/>
          <w:szCs w:val="28"/>
        </w:rPr>
        <w:t xml:space="preserve">Le somme assegnate alla S.U.A. da parte di ciascun Ente Aderente saranno individuate preventivamente nei quadri economici di progetto alla voce “Incentivi ex art 45, comma 8, d.lgs. 36/2023 per i compiti svolti dalla S.U.A.” e liquidate alla </w:t>
      </w:r>
      <w:r>
        <w:rPr>
          <w:rFonts w:cs="Times New Roman"/>
          <w:sz w:val="28"/>
          <w:szCs w:val="28"/>
        </w:rPr>
        <w:lastRenderedPageBreak/>
        <w:t>stessa entro 60 giorni naturali e consecutivi dall’aggiudicazione definitiva della procedura su formale richiesta della SUA stessa.</w:t>
      </w:r>
    </w:p>
    <w:p w14:paraId="582B2781" w14:textId="77777777" w:rsidR="00F0329B" w:rsidRDefault="00206A24">
      <w:pPr>
        <w:pStyle w:val="Paragrafoelenco"/>
        <w:numPr>
          <w:ilvl w:val="0"/>
          <w:numId w:val="18"/>
        </w:numPr>
        <w:jc w:val="both"/>
        <w:rPr>
          <w:rFonts w:cs="Times New Roman"/>
          <w:sz w:val="28"/>
          <w:szCs w:val="28"/>
        </w:rPr>
      </w:pPr>
      <w:r>
        <w:rPr>
          <w:rFonts w:cs="Times New Roman"/>
          <w:sz w:val="28"/>
          <w:szCs w:val="28"/>
        </w:rPr>
        <w:t>Fermo restando quanto previsto al comma 2, ciascun Ente Aderente, al di fuori del territorio della Provincia di (nome della Provincia), partecipa alle spese sopportate dalla medesima per il funzionamento della S.U.A. anche in base a:</w:t>
      </w:r>
    </w:p>
    <w:p w14:paraId="0A976A6A" w14:textId="77777777" w:rsidR="00F0329B" w:rsidRDefault="00206A24">
      <w:pPr>
        <w:pStyle w:val="Paragrafoelenco"/>
        <w:numPr>
          <w:ilvl w:val="1"/>
          <w:numId w:val="18"/>
        </w:numPr>
        <w:jc w:val="both"/>
        <w:rPr>
          <w:rFonts w:cs="Times New Roman"/>
          <w:sz w:val="28"/>
          <w:szCs w:val="28"/>
        </w:rPr>
      </w:pPr>
      <w:r>
        <w:rPr>
          <w:rFonts w:cs="Times New Roman"/>
          <w:sz w:val="28"/>
          <w:szCs w:val="28"/>
        </w:rPr>
        <w:t>una “quota variabile” pari allo 0,15% dell’importo complessivo di ciascuna procedura da affidare con il criterio del PPB e pari allo 0,3% dell’importo complessivo di ciascuna procedura da affidare con il criterio dell’OEPV, con una tariffa minima di euro 1.000 in caso di PPB e di euro 1.500 in caso di OEPV ed una tariffa massima di euro 5.000.</w:t>
      </w:r>
    </w:p>
    <w:p w14:paraId="6DDA2338" w14:textId="77777777" w:rsidR="00F0329B" w:rsidRDefault="00206A24">
      <w:pPr>
        <w:jc w:val="both"/>
        <w:rPr>
          <w:rFonts w:cs="Times New Roman"/>
          <w:sz w:val="28"/>
          <w:szCs w:val="28"/>
        </w:rPr>
      </w:pPr>
      <w:r>
        <w:rPr>
          <w:rFonts w:cs="Times New Roman"/>
          <w:sz w:val="28"/>
          <w:szCs w:val="28"/>
        </w:rPr>
        <w:t>Gli Enti aderenti per una singola procedura di gara, anche su assegnazione disposta da ANAC, sono tenuti, restando fermo quanto previsto al comma 2, al versamento della già menzionata quota variabile.</w:t>
      </w:r>
    </w:p>
    <w:p w14:paraId="64861CD1" w14:textId="77777777" w:rsidR="00F0329B" w:rsidRDefault="00206A24">
      <w:pPr>
        <w:pStyle w:val="Paragrafoelenco"/>
        <w:numPr>
          <w:ilvl w:val="0"/>
          <w:numId w:val="18"/>
        </w:numPr>
        <w:jc w:val="both"/>
        <w:rPr>
          <w:rFonts w:cs="Times New Roman"/>
        </w:rPr>
      </w:pPr>
      <w:r>
        <w:rPr>
          <w:rFonts w:cs="Times New Roman"/>
          <w:sz w:val="28"/>
          <w:szCs w:val="28"/>
        </w:rPr>
        <w:t>Gli importi di cui al comma 5 corrispondono forfettariamente a tutte le spese per l’affidamento del contratto, comprese quelle per l’eventuale utilizzo di sale riunioni, apparecchiature informatiche hardware e software, materiale di cancelleria, spese di spedizione, spese per il personale.</w:t>
      </w:r>
    </w:p>
    <w:p w14:paraId="080C7956" w14:textId="77777777" w:rsidR="00F0329B" w:rsidRDefault="00206A24">
      <w:pPr>
        <w:pStyle w:val="Paragrafoelenco"/>
        <w:numPr>
          <w:ilvl w:val="0"/>
          <w:numId w:val="18"/>
        </w:numPr>
        <w:jc w:val="both"/>
        <w:rPr>
          <w:rFonts w:cs="Times New Roman"/>
        </w:rPr>
      </w:pPr>
      <w:r>
        <w:rPr>
          <w:rFonts w:cs="Times New Roman"/>
          <w:sz w:val="28"/>
          <w:szCs w:val="28"/>
        </w:rPr>
        <w:t>Non sono ricomprese tra le somme di cui al precedente comma 5 e, pertanto, rimangono a carico dell’Ente Aderente:</w:t>
      </w:r>
    </w:p>
    <w:p w14:paraId="619791EF" w14:textId="77777777" w:rsidR="00F0329B" w:rsidRDefault="00206A24">
      <w:pPr>
        <w:pStyle w:val="Paragrafoelenco"/>
        <w:numPr>
          <w:ilvl w:val="1"/>
          <w:numId w:val="18"/>
        </w:numPr>
        <w:jc w:val="both"/>
        <w:rPr>
          <w:rFonts w:cs="Times New Roman"/>
          <w:sz w:val="28"/>
          <w:szCs w:val="28"/>
        </w:rPr>
      </w:pPr>
      <w:r>
        <w:rPr>
          <w:rFonts w:cs="Times New Roman"/>
          <w:sz w:val="28"/>
          <w:szCs w:val="28"/>
        </w:rPr>
        <w:t>le spese relative alla pubblicazione degli avvisi o bandi di gara e dei relativi esiti e il contributo ANAC, che, se anticipate dalla S.U.A. (come nel caso di procedura aggregata o a lotti), dovranno essere rimborsate entro 20 giorni naturali e consecutivi dalla richiesta della stessa;</w:t>
      </w:r>
    </w:p>
    <w:p w14:paraId="0EC678C9" w14:textId="77777777" w:rsidR="00F0329B" w:rsidRDefault="00206A24">
      <w:pPr>
        <w:pStyle w:val="Paragrafoelenco"/>
        <w:numPr>
          <w:ilvl w:val="1"/>
          <w:numId w:val="18"/>
        </w:numPr>
        <w:jc w:val="both"/>
        <w:rPr>
          <w:rFonts w:cs="Times New Roman"/>
          <w:sz w:val="28"/>
          <w:szCs w:val="28"/>
        </w:rPr>
      </w:pPr>
      <w:r>
        <w:rPr>
          <w:rFonts w:cs="Times New Roman"/>
          <w:sz w:val="28"/>
          <w:szCs w:val="28"/>
        </w:rPr>
        <w:t>le eventuali spese per le commissioni giudicatrici;</w:t>
      </w:r>
    </w:p>
    <w:p w14:paraId="6F146D44" w14:textId="77777777" w:rsidR="00F0329B" w:rsidRDefault="00206A24">
      <w:pPr>
        <w:pStyle w:val="Paragrafoelenco"/>
        <w:numPr>
          <w:ilvl w:val="1"/>
          <w:numId w:val="18"/>
        </w:numPr>
        <w:jc w:val="both"/>
        <w:rPr>
          <w:rFonts w:cs="Times New Roman"/>
          <w:sz w:val="28"/>
          <w:szCs w:val="28"/>
        </w:rPr>
      </w:pPr>
      <w:r>
        <w:rPr>
          <w:rFonts w:cs="Times New Roman"/>
          <w:sz w:val="28"/>
          <w:szCs w:val="28"/>
        </w:rPr>
        <w:t>quanto eventualmente dovuto a titolo di spese legali qualora dalla procedura di gara scaturisca un contenzioso;</w:t>
      </w:r>
    </w:p>
    <w:p w14:paraId="7DB0B705" w14:textId="77777777" w:rsidR="00F0329B" w:rsidRDefault="00206A24">
      <w:pPr>
        <w:pStyle w:val="Paragrafoelenco"/>
        <w:numPr>
          <w:ilvl w:val="1"/>
          <w:numId w:val="18"/>
        </w:numPr>
        <w:jc w:val="both"/>
        <w:rPr>
          <w:rFonts w:cs="Times New Roman"/>
          <w:sz w:val="28"/>
          <w:szCs w:val="28"/>
        </w:rPr>
      </w:pPr>
      <w:r>
        <w:rPr>
          <w:rFonts w:cs="Times New Roman"/>
          <w:sz w:val="28"/>
          <w:szCs w:val="28"/>
        </w:rPr>
        <w:t>quant’altro non previsto a carico della S.U.A. nella presente Convenzione.</w:t>
      </w:r>
    </w:p>
    <w:p w14:paraId="7F6A3B9D" w14:textId="77777777" w:rsidR="00F0329B" w:rsidRDefault="00206A24">
      <w:pPr>
        <w:pStyle w:val="Paragrafoelenco"/>
        <w:numPr>
          <w:ilvl w:val="0"/>
          <w:numId w:val="18"/>
        </w:numPr>
        <w:jc w:val="both"/>
        <w:rPr>
          <w:rFonts w:cs="Times New Roman"/>
          <w:sz w:val="28"/>
          <w:szCs w:val="28"/>
        </w:rPr>
      </w:pPr>
      <w:r>
        <w:rPr>
          <w:rFonts w:cs="Times New Roman"/>
          <w:sz w:val="28"/>
          <w:szCs w:val="28"/>
        </w:rPr>
        <w:t xml:space="preserve">Le somme spettanti alla S.U.A., secondo quanto previsto dai precedenti commi 2, 5 e 7, dovranno essere corrisposte dall’Ente Aderente mediante apposita procedura sul Conto di Tesoreria presso ____________________:n°___________– codice IBAN ____________________________________ intestato a </w:t>
      </w:r>
      <w:r w:rsidRPr="00E51DB7">
        <w:rPr>
          <w:rFonts w:cs="Times New Roman"/>
          <w:sz w:val="28"/>
          <w:szCs w:val="28"/>
          <w:highlight w:val="yellow"/>
        </w:rPr>
        <w:t>PROVINCIA DI (NOME DELLA PROVINCIA)</w:t>
      </w:r>
      <w:r>
        <w:rPr>
          <w:rFonts w:cs="Times New Roman"/>
          <w:sz w:val="28"/>
          <w:szCs w:val="28"/>
        </w:rPr>
        <w:t xml:space="preserve"> con obbligo di specificare la causale del versamento e di comunicare, all’indirizzo PEC</w:t>
      </w:r>
      <w:bookmarkStart w:id="50" w:name="page72R_mcid11"/>
      <w:bookmarkEnd w:id="50"/>
      <w:r>
        <w:rPr>
          <w:rFonts w:cs="Times New Roman"/>
          <w:sz w:val="28"/>
          <w:szCs w:val="28"/>
        </w:rPr>
        <w:t xml:space="preserve"> </w:t>
      </w:r>
      <w:bookmarkStart w:id="51" w:name="page72R_mcid21"/>
      <w:bookmarkEnd w:id="51"/>
      <w:r>
        <w:rPr>
          <w:rFonts w:cs="Times New Roman"/>
          <w:sz w:val="28"/>
          <w:szCs w:val="28"/>
        </w:rPr>
        <w:t>della Provincia, l’avvenuta esecuzione.</w:t>
      </w:r>
    </w:p>
    <w:p w14:paraId="297DFF88" w14:textId="77777777" w:rsidR="00F0329B" w:rsidRDefault="00206A24">
      <w:pPr>
        <w:pStyle w:val="Paragrafoelenco"/>
        <w:numPr>
          <w:ilvl w:val="0"/>
          <w:numId w:val="18"/>
        </w:numPr>
        <w:jc w:val="both"/>
        <w:rPr>
          <w:rFonts w:cs="Times New Roman"/>
          <w:sz w:val="28"/>
          <w:szCs w:val="28"/>
        </w:rPr>
      </w:pPr>
      <w:r>
        <w:rPr>
          <w:rFonts w:cs="Times New Roman"/>
          <w:sz w:val="28"/>
          <w:szCs w:val="28"/>
        </w:rPr>
        <w:t>La “QUOTA VARIABILE” dovrà essere corrisposta prima dell’avvio di ciascuna procedura di affidamento, pena la mancata attivazione della procedura di gara. Il mancato versamento di tale quota comporterà il mancato avvio della procedura di gara richiesta.</w:t>
      </w:r>
    </w:p>
    <w:p w14:paraId="61C0C3DE" w14:textId="77777777" w:rsidR="00F0329B" w:rsidRDefault="00206A24">
      <w:pPr>
        <w:pStyle w:val="Paragrafoelenco"/>
        <w:numPr>
          <w:ilvl w:val="0"/>
          <w:numId w:val="18"/>
        </w:numPr>
        <w:jc w:val="both"/>
        <w:rPr>
          <w:rFonts w:cs="Times New Roman"/>
          <w:sz w:val="28"/>
          <w:szCs w:val="28"/>
        </w:rPr>
      </w:pPr>
      <w:r>
        <w:rPr>
          <w:rFonts w:cs="Times New Roman"/>
          <w:sz w:val="28"/>
          <w:szCs w:val="28"/>
        </w:rPr>
        <w:t xml:space="preserve"> In caso di mancata liquidazione delle somme di cui al comma 4 e del rimborso di quelle di cui all’art. 7, lettera a), la S.U.A.  può rifiutare di svolgere le successive procedure di affidamento e quelle di supporto previste dalla presente Convenzione.</w:t>
      </w:r>
    </w:p>
    <w:p w14:paraId="3B271615" w14:textId="77777777" w:rsidR="00F0329B" w:rsidRDefault="00F0329B">
      <w:pPr>
        <w:rPr>
          <w:rFonts w:cs="Times New Roman"/>
          <w:sz w:val="28"/>
          <w:szCs w:val="28"/>
        </w:rPr>
      </w:pPr>
    </w:p>
    <w:p w14:paraId="6586F5D3" w14:textId="77777777" w:rsidR="00F0329B" w:rsidRDefault="00206A24">
      <w:pPr>
        <w:pStyle w:val="Titolo1"/>
        <w:rPr>
          <w:rFonts w:ascii="Times New Roman" w:hAnsi="Times New Roman" w:cs="Times New Roman"/>
        </w:rPr>
      </w:pPr>
      <w:bookmarkStart w:id="52" w:name="_Toc178327396"/>
      <w:bookmarkStart w:id="53" w:name="_Toc101427724"/>
      <w:bookmarkStart w:id="54" w:name="_Toc102362482"/>
      <w:bookmarkEnd w:id="52"/>
      <w:bookmarkEnd w:id="53"/>
      <w:bookmarkEnd w:id="54"/>
      <w:r>
        <w:rPr>
          <w:rFonts w:ascii="Times New Roman" w:hAnsi="Times New Roman" w:cs="Times New Roman"/>
        </w:rPr>
        <w:t>Art. 13 Recesso e risoluzione</w:t>
      </w:r>
    </w:p>
    <w:p w14:paraId="05918376" w14:textId="77777777" w:rsidR="00F0329B" w:rsidRDefault="00206A24">
      <w:pPr>
        <w:pStyle w:val="Paragrafoelenco"/>
        <w:numPr>
          <w:ilvl w:val="0"/>
          <w:numId w:val="19"/>
        </w:numPr>
        <w:jc w:val="both"/>
        <w:rPr>
          <w:rFonts w:cs="Times New Roman"/>
          <w:sz w:val="28"/>
          <w:szCs w:val="28"/>
        </w:rPr>
      </w:pPr>
      <w:r>
        <w:rPr>
          <w:rFonts w:cs="Times New Roman"/>
          <w:sz w:val="28"/>
          <w:szCs w:val="28"/>
        </w:rPr>
        <w:lastRenderedPageBreak/>
        <w:t>L’Ente Aderente può recedere dalla Convenzione, con formale preavviso di almeno 15 giorni.</w:t>
      </w:r>
    </w:p>
    <w:p w14:paraId="3A6CF73F" w14:textId="77777777" w:rsidR="00F0329B" w:rsidRDefault="00206A24">
      <w:pPr>
        <w:pStyle w:val="Paragrafoelenco"/>
        <w:numPr>
          <w:ilvl w:val="0"/>
          <w:numId w:val="19"/>
        </w:numPr>
        <w:jc w:val="both"/>
        <w:rPr>
          <w:rFonts w:cs="Times New Roman"/>
        </w:rPr>
      </w:pPr>
      <w:r>
        <w:rPr>
          <w:rFonts w:cs="Times New Roman"/>
          <w:sz w:val="28"/>
          <w:szCs w:val="28"/>
        </w:rPr>
        <w:t>Salvo diverso accordo, la S.U.A. porterà a termine per quanto di propria competenza le procedure di gara il cui Bando risulti già pubblicato, o Invito già trasmesso, mentre restituirà all’Ente gli atti relativi ai procedimenti che non abbiano ancora raggiunto tale fase.</w:t>
      </w:r>
    </w:p>
    <w:p w14:paraId="0155FA44" w14:textId="77777777" w:rsidR="00F0329B" w:rsidRDefault="00206A24">
      <w:pPr>
        <w:pStyle w:val="Paragrafoelenco"/>
        <w:numPr>
          <w:ilvl w:val="0"/>
          <w:numId w:val="19"/>
        </w:numPr>
        <w:jc w:val="both"/>
        <w:rPr>
          <w:rFonts w:cs="Times New Roman"/>
          <w:sz w:val="28"/>
          <w:szCs w:val="28"/>
        </w:rPr>
      </w:pPr>
      <w:r>
        <w:rPr>
          <w:rFonts w:cs="Times New Roman"/>
          <w:sz w:val="28"/>
          <w:szCs w:val="28"/>
        </w:rPr>
        <w:t>Le parti potranno altresì risolvere la presente Convenzione per inadempimento dell’altra parte alle obbligazioni ivi previste.</w:t>
      </w:r>
    </w:p>
    <w:p w14:paraId="5A6EB607" w14:textId="77777777" w:rsidR="00F0329B" w:rsidRDefault="00206A24">
      <w:pPr>
        <w:pStyle w:val="Titolo1"/>
        <w:rPr>
          <w:rFonts w:ascii="Times New Roman" w:hAnsi="Times New Roman" w:cs="Times New Roman"/>
        </w:rPr>
      </w:pPr>
      <w:r>
        <w:rPr>
          <w:rFonts w:ascii="Times New Roman" w:hAnsi="Times New Roman" w:cs="Times New Roman"/>
        </w:rPr>
        <w:br/>
      </w:r>
      <w:bookmarkStart w:id="55" w:name="_Toc178327397"/>
      <w:bookmarkStart w:id="56" w:name="_Toc102362483"/>
      <w:bookmarkStart w:id="57" w:name="_Toc101427725"/>
      <w:bookmarkEnd w:id="55"/>
      <w:bookmarkEnd w:id="56"/>
      <w:bookmarkEnd w:id="57"/>
      <w:r>
        <w:rPr>
          <w:rFonts w:ascii="Times New Roman" w:hAnsi="Times New Roman" w:cs="Times New Roman"/>
        </w:rPr>
        <w:t>Art. 14 Non esclusività</w:t>
      </w:r>
    </w:p>
    <w:p w14:paraId="644A14A4" w14:textId="77777777" w:rsidR="00F0329B" w:rsidRDefault="00206A24">
      <w:pPr>
        <w:pStyle w:val="Paragrafoelenco"/>
        <w:numPr>
          <w:ilvl w:val="0"/>
          <w:numId w:val="20"/>
        </w:numPr>
        <w:jc w:val="both"/>
        <w:rPr>
          <w:rFonts w:cs="Times New Roman"/>
          <w:sz w:val="28"/>
          <w:szCs w:val="28"/>
        </w:rPr>
      </w:pPr>
      <w:r>
        <w:rPr>
          <w:rFonts w:cs="Times New Roman"/>
          <w:sz w:val="28"/>
          <w:szCs w:val="28"/>
        </w:rPr>
        <w:t>L’adesione alla presente convenzione non comporta l’obbligo per l’Ente aderente di ricorrere esclusivamente alla S.U.A. per ogni procedura di acquisizione, potendo ricorrere anche ad altre soluzioni previste dalla vigente normativa.</w:t>
      </w:r>
    </w:p>
    <w:p w14:paraId="0906C4AD" w14:textId="77777777" w:rsidR="00F0329B" w:rsidRDefault="00F0329B">
      <w:pPr>
        <w:rPr>
          <w:rFonts w:cs="Times New Roman"/>
        </w:rPr>
      </w:pPr>
    </w:p>
    <w:p w14:paraId="63B3E64E" w14:textId="77777777" w:rsidR="00F0329B" w:rsidRDefault="00206A24">
      <w:pPr>
        <w:pStyle w:val="Titolo1"/>
        <w:rPr>
          <w:rFonts w:ascii="Times New Roman" w:hAnsi="Times New Roman" w:cs="Times New Roman"/>
        </w:rPr>
      </w:pPr>
      <w:bookmarkStart w:id="58" w:name="_Toc101427726"/>
      <w:bookmarkStart w:id="59" w:name="_Toc178327398"/>
      <w:bookmarkStart w:id="60" w:name="_Toc102362484"/>
      <w:bookmarkEnd w:id="58"/>
      <w:bookmarkEnd w:id="59"/>
      <w:bookmarkEnd w:id="60"/>
      <w:r>
        <w:rPr>
          <w:rFonts w:ascii="Times New Roman" w:hAnsi="Times New Roman" w:cs="Times New Roman"/>
        </w:rPr>
        <w:t>Art. 15 Prevenzione della corruzione</w:t>
      </w:r>
    </w:p>
    <w:p w14:paraId="079726CA" w14:textId="77777777" w:rsidR="00F0329B" w:rsidRDefault="00206A24">
      <w:pPr>
        <w:pStyle w:val="Paragrafoelenco"/>
        <w:numPr>
          <w:ilvl w:val="0"/>
          <w:numId w:val="21"/>
        </w:numPr>
        <w:jc w:val="both"/>
        <w:rPr>
          <w:rFonts w:cs="Times New Roman"/>
          <w:sz w:val="28"/>
          <w:szCs w:val="28"/>
        </w:rPr>
      </w:pPr>
      <w:r>
        <w:rPr>
          <w:rFonts w:cs="Times New Roman"/>
          <w:sz w:val="28"/>
          <w:szCs w:val="28"/>
        </w:rPr>
        <w:t>La Provincia e l’Ente convenzionato reciprocamente assumono formale obbligazione di conformare i propri comportamenti ai principi di legalità, lealtà, trasparenza, correttezza e riservatezza.</w:t>
      </w:r>
    </w:p>
    <w:p w14:paraId="4CB7CECD" w14:textId="77777777" w:rsidR="00F0329B" w:rsidRDefault="00206A24">
      <w:pPr>
        <w:pStyle w:val="Paragrafoelenco"/>
        <w:numPr>
          <w:ilvl w:val="0"/>
          <w:numId w:val="21"/>
        </w:numPr>
        <w:jc w:val="both"/>
        <w:rPr>
          <w:rFonts w:cs="Times New Roman"/>
          <w:sz w:val="28"/>
          <w:szCs w:val="28"/>
        </w:rPr>
      </w:pPr>
      <w:r>
        <w:rPr>
          <w:rFonts w:cs="Times New Roman"/>
          <w:sz w:val="28"/>
          <w:szCs w:val="28"/>
        </w:rPr>
        <w:t>L’Ente aderente si impegna a segnalare alla S.U.A. qualsiasi tentativo di turbativa, irregolarità o distorsione nelle fasi di svolgimento della gara da parte di ogni interessato o addetto o di chiunque possa influenzare le decisioni relative alla gara in corso.</w:t>
      </w:r>
    </w:p>
    <w:p w14:paraId="428569E3" w14:textId="77777777" w:rsidR="00F0329B" w:rsidRPr="00ED3F31" w:rsidRDefault="00206A24">
      <w:pPr>
        <w:pStyle w:val="Paragrafoelenco"/>
        <w:numPr>
          <w:ilvl w:val="0"/>
          <w:numId w:val="21"/>
        </w:numPr>
        <w:jc w:val="both"/>
        <w:rPr>
          <w:rFonts w:cs="Times New Roman"/>
          <w:color w:val="000000" w:themeColor="text1"/>
          <w:sz w:val="28"/>
          <w:szCs w:val="28"/>
        </w:rPr>
      </w:pPr>
      <w:r w:rsidRPr="00ED3F31">
        <w:rPr>
          <w:rFonts w:cs="Times New Roman"/>
          <w:color w:val="000000" w:themeColor="text1"/>
          <w:sz w:val="28"/>
          <w:szCs w:val="28"/>
        </w:rPr>
        <w:t>Nell’espletamento delle attività di centrale di committenza la Provincia è soggetta all’applicazione delle disposizioni di cui alla legge n. 190/2012 e di quelle attuative della medesima nonché al regime dei controlli interni adottato dal Consiglio Provinciale.</w:t>
      </w:r>
    </w:p>
    <w:p w14:paraId="737C117A" w14:textId="5071BAE6" w:rsidR="00E021BF" w:rsidRPr="00ED3F31" w:rsidRDefault="00E021BF">
      <w:pPr>
        <w:pStyle w:val="Paragrafoelenco"/>
        <w:numPr>
          <w:ilvl w:val="0"/>
          <w:numId w:val="21"/>
        </w:numPr>
        <w:jc w:val="both"/>
        <w:rPr>
          <w:rFonts w:cs="Times New Roman"/>
          <w:color w:val="000000" w:themeColor="text1"/>
          <w:sz w:val="28"/>
          <w:szCs w:val="28"/>
        </w:rPr>
      </w:pPr>
      <w:r w:rsidRPr="00ED3F31">
        <w:rPr>
          <w:rFonts w:cs="Times New Roman"/>
          <w:color w:val="000000" w:themeColor="text1"/>
          <w:sz w:val="28"/>
          <w:szCs w:val="28"/>
        </w:rPr>
        <w:t>Le attività della SUA sono svolte nel rispetto delle disposizioni della normativa anticorruzione, nonché in conformità alla sezione 2 “Valore Pubblico, Performance e Anticorruzione” – sottosezione 2.3 “Rischi corruttivi e trasparenza” de</w:t>
      </w:r>
      <w:r w:rsidR="00083206" w:rsidRPr="00ED3F31">
        <w:rPr>
          <w:rFonts w:cs="Times New Roman"/>
          <w:color w:val="000000" w:themeColor="text1"/>
          <w:sz w:val="28"/>
          <w:szCs w:val="28"/>
        </w:rPr>
        <w:t xml:space="preserve">l </w:t>
      </w:r>
      <w:r w:rsidRPr="00ED3F31">
        <w:rPr>
          <w:rFonts w:cs="Times New Roman"/>
          <w:color w:val="000000" w:themeColor="text1"/>
          <w:sz w:val="28"/>
          <w:szCs w:val="28"/>
        </w:rPr>
        <w:t>Pian</w:t>
      </w:r>
      <w:r w:rsidR="00083206" w:rsidRPr="00ED3F31">
        <w:rPr>
          <w:rFonts w:cs="Times New Roman"/>
          <w:color w:val="000000" w:themeColor="text1"/>
          <w:sz w:val="28"/>
          <w:szCs w:val="28"/>
        </w:rPr>
        <w:t>o</w:t>
      </w:r>
      <w:r w:rsidRPr="00ED3F31">
        <w:rPr>
          <w:rFonts w:cs="Times New Roman"/>
          <w:color w:val="000000" w:themeColor="text1"/>
          <w:sz w:val="28"/>
          <w:szCs w:val="28"/>
        </w:rPr>
        <w:t xml:space="preserve"> integrat</w:t>
      </w:r>
      <w:r w:rsidR="00083206" w:rsidRPr="00ED3F31">
        <w:rPr>
          <w:rFonts w:cs="Times New Roman"/>
          <w:color w:val="000000" w:themeColor="text1"/>
          <w:sz w:val="28"/>
          <w:szCs w:val="28"/>
        </w:rPr>
        <w:t>o</w:t>
      </w:r>
      <w:r w:rsidRPr="00ED3F31">
        <w:rPr>
          <w:rFonts w:cs="Times New Roman"/>
          <w:color w:val="000000" w:themeColor="text1"/>
          <w:sz w:val="28"/>
          <w:szCs w:val="28"/>
        </w:rPr>
        <w:t xml:space="preserve"> di attività e organizzazione (PIAO)</w:t>
      </w:r>
      <w:r w:rsidR="00083206" w:rsidRPr="00ED3F31">
        <w:rPr>
          <w:rFonts w:cs="Times New Roman"/>
          <w:color w:val="000000" w:themeColor="text1"/>
          <w:sz w:val="28"/>
          <w:szCs w:val="28"/>
        </w:rPr>
        <w:t xml:space="preserve"> della Provincia</w:t>
      </w:r>
      <w:r w:rsidRPr="00ED3F31">
        <w:rPr>
          <w:rFonts w:cs="Times New Roman"/>
          <w:color w:val="000000" w:themeColor="text1"/>
          <w:sz w:val="28"/>
          <w:szCs w:val="28"/>
        </w:rPr>
        <w:t>.</w:t>
      </w:r>
    </w:p>
    <w:p w14:paraId="133BF406" w14:textId="77777777" w:rsidR="00F0329B" w:rsidRDefault="00F0329B">
      <w:pPr>
        <w:rPr>
          <w:rFonts w:cs="Times New Roman"/>
          <w:sz w:val="28"/>
          <w:szCs w:val="28"/>
          <w:highlight w:val="yellow"/>
        </w:rPr>
      </w:pPr>
    </w:p>
    <w:p w14:paraId="7E0D3363" w14:textId="77777777" w:rsidR="00F0329B" w:rsidRDefault="00206A24">
      <w:pPr>
        <w:pStyle w:val="Titolo1"/>
        <w:rPr>
          <w:rFonts w:ascii="Times New Roman" w:hAnsi="Times New Roman" w:cs="Times New Roman"/>
        </w:rPr>
      </w:pPr>
      <w:bookmarkStart w:id="61" w:name="_Toc178327399"/>
      <w:bookmarkStart w:id="62" w:name="_Toc102362485"/>
      <w:bookmarkEnd w:id="61"/>
      <w:bookmarkEnd w:id="62"/>
      <w:r>
        <w:rPr>
          <w:rFonts w:ascii="Times New Roman" w:hAnsi="Times New Roman" w:cs="Times New Roman"/>
        </w:rPr>
        <w:t>Art. 16 Collaborazione nei contenziosi instaurati da terzi</w:t>
      </w:r>
    </w:p>
    <w:p w14:paraId="5B79596B" w14:textId="77777777" w:rsidR="00F0329B" w:rsidRDefault="00206A24">
      <w:pPr>
        <w:pStyle w:val="Paragrafoelenco"/>
        <w:numPr>
          <w:ilvl w:val="0"/>
          <w:numId w:val="22"/>
        </w:numPr>
        <w:jc w:val="both"/>
        <w:rPr>
          <w:rFonts w:cs="Times New Roman"/>
          <w:sz w:val="28"/>
          <w:szCs w:val="28"/>
        </w:rPr>
      </w:pPr>
      <w:r>
        <w:rPr>
          <w:rFonts w:cs="Times New Roman"/>
          <w:sz w:val="28"/>
          <w:szCs w:val="28"/>
        </w:rPr>
        <w:t>In caso di contenziosi avviati da terzi avverso gli atti delle procedure di affidamento gestite ai sensi della presente Convenzione, gli Enti aderenti valutano, nel rispetto della loro autonomia, se costituirsi o meno in giudizio, eventualmente associando le proprie posizioni nell’ambito del processo /coordinare le difese.</w:t>
      </w:r>
    </w:p>
    <w:p w14:paraId="596852D5" w14:textId="77777777" w:rsidR="00F0329B" w:rsidRDefault="00206A24">
      <w:pPr>
        <w:pStyle w:val="Paragrafoelenco"/>
        <w:numPr>
          <w:ilvl w:val="0"/>
          <w:numId w:val="22"/>
        </w:numPr>
        <w:jc w:val="both"/>
        <w:rPr>
          <w:rFonts w:cs="Times New Roman"/>
          <w:sz w:val="28"/>
          <w:szCs w:val="28"/>
        </w:rPr>
      </w:pPr>
      <w:r>
        <w:rPr>
          <w:rFonts w:cs="Times New Roman"/>
          <w:sz w:val="28"/>
          <w:szCs w:val="28"/>
        </w:rPr>
        <w:t>La S.U.A. e l’Ente aderente collaborano al fine di fornire all’altra ogni dato o informazione utile al fine della difesa in giudizio.</w:t>
      </w:r>
    </w:p>
    <w:p w14:paraId="123EA3FA" w14:textId="77777777" w:rsidR="00F0329B" w:rsidRDefault="00206A24">
      <w:pPr>
        <w:pStyle w:val="Paragrafoelenco"/>
        <w:numPr>
          <w:ilvl w:val="0"/>
          <w:numId w:val="22"/>
        </w:numPr>
        <w:jc w:val="both"/>
        <w:rPr>
          <w:rFonts w:cs="Times New Roman"/>
          <w:sz w:val="28"/>
          <w:szCs w:val="28"/>
        </w:rPr>
      </w:pPr>
      <w:r>
        <w:rPr>
          <w:rFonts w:cs="Times New Roman"/>
          <w:sz w:val="28"/>
          <w:szCs w:val="28"/>
        </w:rPr>
        <w:t>Ove possibile, le spese del giudizio sono condivise in funzione della titolarità della competenza.</w:t>
      </w:r>
    </w:p>
    <w:p w14:paraId="08256532" w14:textId="77777777" w:rsidR="00F0329B" w:rsidRDefault="00F0329B">
      <w:pPr>
        <w:rPr>
          <w:rFonts w:cs="Times New Roman"/>
          <w:sz w:val="28"/>
          <w:szCs w:val="28"/>
        </w:rPr>
      </w:pPr>
    </w:p>
    <w:p w14:paraId="1DA7EB8F" w14:textId="77777777" w:rsidR="00F0329B" w:rsidRDefault="00206A24">
      <w:pPr>
        <w:pStyle w:val="Titolo1"/>
        <w:rPr>
          <w:rFonts w:ascii="Times New Roman" w:hAnsi="Times New Roman" w:cs="Times New Roman"/>
        </w:rPr>
      </w:pPr>
      <w:bookmarkStart w:id="63" w:name="page77R_mcid01"/>
      <w:bookmarkStart w:id="64" w:name="page77R_mcid11"/>
      <w:bookmarkStart w:id="65" w:name="_Toc178327400"/>
      <w:bookmarkStart w:id="66" w:name="_Toc101427727"/>
      <w:bookmarkStart w:id="67" w:name="_Toc102362486"/>
      <w:bookmarkEnd w:id="63"/>
      <w:bookmarkEnd w:id="64"/>
      <w:bookmarkEnd w:id="65"/>
      <w:bookmarkEnd w:id="66"/>
      <w:bookmarkEnd w:id="67"/>
      <w:r>
        <w:rPr>
          <w:rFonts w:ascii="Times New Roman" w:hAnsi="Times New Roman" w:cs="Times New Roman"/>
        </w:rPr>
        <w:lastRenderedPageBreak/>
        <w:t>Art. 17 Definizione delle controversie tra le Parti</w:t>
      </w:r>
    </w:p>
    <w:p w14:paraId="4E048FDC" w14:textId="77777777" w:rsidR="00F0329B" w:rsidRDefault="00206A24">
      <w:pPr>
        <w:pStyle w:val="Paragrafoelenco"/>
        <w:numPr>
          <w:ilvl w:val="0"/>
          <w:numId w:val="23"/>
        </w:numPr>
        <w:jc w:val="both"/>
        <w:rPr>
          <w:rFonts w:cs="Times New Roman"/>
          <w:sz w:val="28"/>
          <w:szCs w:val="28"/>
        </w:rPr>
      </w:pPr>
      <w:r>
        <w:rPr>
          <w:rFonts w:cs="Times New Roman"/>
          <w:sz w:val="28"/>
          <w:szCs w:val="28"/>
        </w:rPr>
        <w:t>Per la definizione delle controversie derivanti dall’esecuzione della presente Convenzione che non potranno essere risolte in via amichevole, è competente il Foro di (nome della Provincia).</w:t>
      </w:r>
    </w:p>
    <w:p w14:paraId="200FCCA1" w14:textId="77777777" w:rsidR="00F0329B" w:rsidRDefault="00F0329B">
      <w:pPr>
        <w:rPr>
          <w:rFonts w:cs="Times New Roman"/>
          <w:sz w:val="28"/>
          <w:szCs w:val="28"/>
        </w:rPr>
      </w:pPr>
    </w:p>
    <w:p w14:paraId="192A10EF" w14:textId="77777777" w:rsidR="00F0329B" w:rsidRDefault="00206A24">
      <w:pPr>
        <w:pStyle w:val="Titolo1"/>
        <w:rPr>
          <w:rFonts w:ascii="Times New Roman" w:hAnsi="Times New Roman" w:cs="Times New Roman"/>
        </w:rPr>
      </w:pPr>
      <w:bookmarkStart w:id="68" w:name="_Toc101427728"/>
      <w:bookmarkStart w:id="69" w:name="_Toc178327401"/>
      <w:bookmarkStart w:id="70" w:name="_Toc102362487"/>
      <w:r>
        <w:rPr>
          <w:rFonts w:ascii="Times New Roman" w:hAnsi="Times New Roman" w:cs="Times New Roman"/>
        </w:rPr>
        <w:t xml:space="preserve">Art. 18 Rinvio </w:t>
      </w:r>
      <w:bookmarkEnd w:id="68"/>
      <w:bookmarkEnd w:id="69"/>
      <w:bookmarkEnd w:id="70"/>
      <w:r>
        <w:rPr>
          <w:rFonts w:ascii="Times New Roman" w:hAnsi="Times New Roman" w:cs="Times New Roman"/>
        </w:rPr>
        <w:t>e adeguamento normativo</w:t>
      </w:r>
    </w:p>
    <w:p w14:paraId="7DD86F7F" w14:textId="77777777" w:rsidR="00F0329B" w:rsidRDefault="00206A24">
      <w:pPr>
        <w:pStyle w:val="Paragrafoelenco"/>
        <w:numPr>
          <w:ilvl w:val="0"/>
          <w:numId w:val="24"/>
        </w:numPr>
        <w:jc w:val="both"/>
        <w:rPr>
          <w:rFonts w:cs="Times New Roman"/>
        </w:rPr>
      </w:pPr>
      <w:r>
        <w:rPr>
          <w:rFonts w:cs="Times New Roman"/>
          <w:sz w:val="28"/>
          <w:szCs w:val="28"/>
        </w:rPr>
        <w:t>Per quanto non previsto dalla presente convenzione, si rinvia alle disposizioni del d.lgs. 36/2023 e al d.lgs. 267/2000, nonché agli altri atti richiamati nelle premesse e alla normativa applicabile in materia di PNRR e PNC, ove rilevante.</w:t>
      </w:r>
    </w:p>
    <w:p w14:paraId="733A50B2" w14:textId="77777777" w:rsidR="00F0329B" w:rsidRDefault="00206A24">
      <w:pPr>
        <w:pStyle w:val="Paragrafoelenco"/>
        <w:numPr>
          <w:ilvl w:val="0"/>
          <w:numId w:val="24"/>
        </w:numPr>
        <w:jc w:val="both"/>
        <w:rPr>
          <w:rFonts w:cs="Times New Roman"/>
          <w:sz w:val="28"/>
          <w:szCs w:val="28"/>
        </w:rPr>
      </w:pPr>
      <w:r>
        <w:rPr>
          <w:rFonts w:cs="Times New Roman"/>
          <w:sz w:val="28"/>
          <w:szCs w:val="28"/>
        </w:rPr>
        <w:t>Le clausole della presente Convenzione che recano riferimenti al d.lgs. 36/2023 nonché ai provvedimenti attuativi dello stesso e ad altre disposizioni di legge inerenti agli appalti e ai contratti pubblici, si intendono automaticamente adeguate alle eventuali modificazioni e/o integrazioni sopravvenute.</w:t>
      </w:r>
    </w:p>
    <w:p w14:paraId="1F36BCB8" w14:textId="77777777" w:rsidR="00F0329B" w:rsidRDefault="00206A24">
      <w:pPr>
        <w:pStyle w:val="Paragrafoelenco"/>
        <w:numPr>
          <w:ilvl w:val="0"/>
          <w:numId w:val="24"/>
        </w:numPr>
        <w:jc w:val="both"/>
        <w:rPr>
          <w:rFonts w:cs="Times New Roman"/>
          <w:sz w:val="28"/>
          <w:szCs w:val="28"/>
        </w:rPr>
      </w:pPr>
      <w:r>
        <w:rPr>
          <w:rFonts w:cs="Times New Roman"/>
          <w:sz w:val="28"/>
          <w:szCs w:val="28"/>
        </w:rPr>
        <w:t>Qualora, per effetto delle disposizioni sopravvenute, si renda necessario disciplinare nuovamente una o più clausole di cui alla presente Convenzione, per renderle coerenti con la normativa vigente, entrambe le parti possono proporre le modifiche o integrazioni all’altra parte, al fine di addivenire ad un accordo da sottoporre all’approvazione dei rispettivi organi competenti.</w:t>
      </w:r>
    </w:p>
    <w:p w14:paraId="11F2A2A8" w14:textId="77777777" w:rsidR="00F0329B" w:rsidRDefault="00F0329B">
      <w:pPr>
        <w:rPr>
          <w:rFonts w:cs="Times New Roman"/>
          <w:sz w:val="28"/>
          <w:szCs w:val="28"/>
        </w:rPr>
      </w:pPr>
    </w:p>
    <w:p w14:paraId="2456C945" w14:textId="77777777" w:rsidR="00F0329B" w:rsidRDefault="00206A24">
      <w:pPr>
        <w:pStyle w:val="Titolo1"/>
        <w:rPr>
          <w:rFonts w:ascii="Times New Roman" w:hAnsi="Times New Roman" w:cs="Times New Roman"/>
        </w:rPr>
      </w:pPr>
      <w:bookmarkStart w:id="71" w:name="_Toc178327402"/>
      <w:bookmarkStart w:id="72" w:name="_Toc101427729"/>
      <w:bookmarkStart w:id="73" w:name="_Toc102362488"/>
      <w:bookmarkEnd w:id="71"/>
      <w:bookmarkEnd w:id="72"/>
      <w:bookmarkEnd w:id="73"/>
      <w:r>
        <w:rPr>
          <w:rFonts w:ascii="Times New Roman" w:hAnsi="Times New Roman" w:cs="Times New Roman"/>
        </w:rPr>
        <w:t>Art. 19 Registrazione</w:t>
      </w:r>
    </w:p>
    <w:p w14:paraId="3074256C" w14:textId="77777777" w:rsidR="00F0329B" w:rsidRDefault="00206A24">
      <w:pPr>
        <w:pStyle w:val="Paragrafoelenco"/>
        <w:numPr>
          <w:ilvl w:val="0"/>
          <w:numId w:val="25"/>
        </w:numPr>
        <w:jc w:val="both"/>
        <w:rPr>
          <w:rFonts w:cs="Times New Roman"/>
          <w:sz w:val="28"/>
          <w:szCs w:val="28"/>
        </w:rPr>
      </w:pPr>
      <w:r>
        <w:rPr>
          <w:rFonts w:cs="Times New Roman"/>
          <w:sz w:val="28"/>
          <w:szCs w:val="28"/>
        </w:rPr>
        <w:t>La presente convenzione verrà registrata solo in caso d’uso, ai sensi del D.P.R. 26.04.1986, n. 131.</w:t>
      </w:r>
    </w:p>
    <w:p w14:paraId="72CC7367" w14:textId="77777777" w:rsidR="00F0329B" w:rsidRPr="00ED3F31" w:rsidRDefault="00F0329B">
      <w:pPr>
        <w:rPr>
          <w:rFonts w:cs="Times New Roman"/>
          <w:b/>
          <w:bCs/>
          <w:color w:val="000000" w:themeColor="text1"/>
          <w:sz w:val="28"/>
          <w:szCs w:val="28"/>
        </w:rPr>
      </w:pPr>
    </w:p>
    <w:p w14:paraId="28742816" w14:textId="77777777" w:rsidR="00F0329B" w:rsidRPr="00ED3F31" w:rsidRDefault="00206A24">
      <w:pPr>
        <w:pStyle w:val="Titolo1"/>
        <w:rPr>
          <w:rFonts w:ascii="Times New Roman" w:hAnsi="Times New Roman" w:cs="Times New Roman"/>
          <w:color w:val="000000" w:themeColor="text1"/>
        </w:rPr>
      </w:pPr>
      <w:bookmarkStart w:id="74" w:name="page79R_mcid61"/>
      <w:bookmarkStart w:id="75" w:name="page79R_mcid71"/>
      <w:bookmarkStart w:id="76" w:name="_Toc178327403"/>
      <w:bookmarkStart w:id="77" w:name="_Toc101427730"/>
      <w:bookmarkStart w:id="78" w:name="_Toc102362489"/>
      <w:bookmarkStart w:id="79" w:name="page79R_mcid81"/>
      <w:bookmarkEnd w:id="74"/>
      <w:bookmarkEnd w:id="75"/>
      <w:bookmarkEnd w:id="76"/>
      <w:bookmarkEnd w:id="77"/>
      <w:bookmarkEnd w:id="78"/>
      <w:bookmarkEnd w:id="79"/>
      <w:r w:rsidRPr="00ED3F31">
        <w:rPr>
          <w:rFonts w:ascii="Times New Roman" w:hAnsi="Times New Roman" w:cs="Times New Roman"/>
          <w:color w:val="000000" w:themeColor="text1"/>
        </w:rPr>
        <w:t>Art. 20 Trattamento dei dati personali</w:t>
      </w:r>
    </w:p>
    <w:p w14:paraId="05F86A8E" w14:textId="57AF37A9" w:rsidR="00171ACA" w:rsidRPr="00ED3F31" w:rsidRDefault="00171ACA" w:rsidP="00171ACA">
      <w:pPr>
        <w:pStyle w:val="Paragrafoelenco"/>
        <w:numPr>
          <w:ilvl w:val="0"/>
          <w:numId w:val="26"/>
        </w:numPr>
        <w:jc w:val="both"/>
        <w:rPr>
          <w:rFonts w:cs="Times New Roman"/>
          <w:color w:val="000000" w:themeColor="text1"/>
          <w:sz w:val="28"/>
          <w:szCs w:val="28"/>
        </w:rPr>
      </w:pPr>
      <w:r w:rsidRPr="00ED3F31">
        <w:rPr>
          <w:rFonts w:cs="Times New Roman"/>
          <w:color w:val="000000" w:themeColor="text1"/>
          <w:sz w:val="28"/>
          <w:szCs w:val="28"/>
        </w:rPr>
        <w:t>Le Parti acconsentono reciprocamente al trattamento dei dati contenuti nella presente convenzione per le sole finalità connesse agli adempimenti degli obblighi pattuiti nel rispetto delle disposizioni previste dal D.</w:t>
      </w:r>
      <w:r w:rsidR="009824B0" w:rsidRPr="00ED3F31">
        <w:rPr>
          <w:rFonts w:cs="Times New Roman"/>
          <w:color w:val="000000" w:themeColor="text1"/>
          <w:sz w:val="28"/>
          <w:szCs w:val="28"/>
        </w:rPr>
        <w:t xml:space="preserve"> </w:t>
      </w:r>
      <w:r w:rsidRPr="00ED3F31">
        <w:rPr>
          <w:rFonts w:cs="Times New Roman"/>
          <w:color w:val="000000" w:themeColor="text1"/>
          <w:sz w:val="28"/>
          <w:szCs w:val="28"/>
        </w:rPr>
        <w:t>Lgs. n. 196 del 30 giugno 2003 come modificato e integrato dal D.</w:t>
      </w:r>
      <w:r w:rsidR="00433C52" w:rsidRPr="00ED3F31">
        <w:rPr>
          <w:rFonts w:cs="Times New Roman"/>
          <w:color w:val="000000" w:themeColor="text1"/>
          <w:sz w:val="28"/>
          <w:szCs w:val="28"/>
        </w:rPr>
        <w:t xml:space="preserve"> </w:t>
      </w:r>
      <w:r w:rsidRPr="00ED3F31">
        <w:rPr>
          <w:rFonts w:cs="Times New Roman"/>
          <w:color w:val="000000" w:themeColor="text1"/>
          <w:sz w:val="28"/>
          <w:szCs w:val="28"/>
        </w:rPr>
        <w:t xml:space="preserve">Lgs. 101/2018 e del Regolamento UE 2016/679 e </w:t>
      </w:r>
      <w:proofErr w:type="spellStart"/>
      <w:r w:rsidRPr="00ED3F31">
        <w:rPr>
          <w:rFonts w:cs="Times New Roman"/>
          <w:color w:val="000000" w:themeColor="text1"/>
          <w:sz w:val="28"/>
          <w:szCs w:val="28"/>
        </w:rPr>
        <w:t>smi</w:t>
      </w:r>
      <w:proofErr w:type="spellEnd"/>
      <w:r w:rsidRPr="00ED3F31">
        <w:rPr>
          <w:rFonts w:cs="Times New Roman"/>
          <w:color w:val="000000" w:themeColor="text1"/>
          <w:sz w:val="28"/>
          <w:szCs w:val="28"/>
        </w:rPr>
        <w:t>.</w:t>
      </w:r>
    </w:p>
    <w:p w14:paraId="4161C953" w14:textId="0D5A28C9" w:rsidR="00171ACA" w:rsidRPr="00ED3F31" w:rsidRDefault="00171ACA" w:rsidP="007C30DB">
      <w:pPr>
        <w:pStyle w:val="Paragrafoelenco"/>
        <w:numPr>
          <w:ilvl w:val="0"/>
          <w:numId w:val="26"/>
        </w:numPr>
        <w:jc w:val="both"/>
        <w:rPr>
          <w:rFonts w:cs="Times New Roman"/>
          <w:color w:val="000000" w:themeColor="text1"/>
          <w:sz w:val="28"/>
          <w:szCs w:val="28"/>
        </w:rPr>
      </w:pPr>
      <w:r w:rsidRPr="00ED3F31">
        <w:rPr>
          <w:rFonts w:cs="Times New Roman"/>
          <w:color w:val="000000" w:themeColor="text1"/>
          <w:sz w:val="28"/>
          <w:szCs w:val="28"/>
        </w:rPr>
        <w:t>Tutti i dati personali sono utilizzati dagli Enti</w:t>
      </w:r>
      <w:r w:rsidR="00BE70A2" w:rsidRPr="00ED3F31">
        <w:rPr>
          <w:rFonts w:cs="Times New Roman"/>
          <w:color w:val="000000" w:themeColor="text1"/>
          <w:sz w:val="28"/>
          <w:szCs w:val="28"/>
        </w:rPr>
        <w:t xml:space="preserve"> aderenti </w:t>
      </w:r>
      <w:r w:rsidRPr="00ED3F31">
        <w:rPr>
          <w:rFonts w:cs="Times New Roman"/>
          <w:color w:val="000000" w:themeColor="text1"/>
          <w:sz w:val="28"/>
          <w:szCs w:val="28"/>
        </w:rPr>
        <w:t>per i soli fini istituzionali assicurando la protezione e la riservatezza delle informazioni secondo la normativa vigente in materia. Ciascun firmatario autorizza il trattamento dei rispettivi dati personali per le finalità di cui alla presente Convenzione.</w:t>
      </w:r>
    </w:p>
    <w:p w14:paraId="79063AFA" w14:textId="05275845" w:rsidR="00171ACA" w:rsidRPr="00ED3F31" w:rsidRDefault="00171ACA" w:rsidP="007C30DB">
      <w:pPr>
        <w:pStyle w:val="Paragrafoelenco"/>
        <w:numPr>
          <w:ilvl w:val="0"/>
          <w:numId w:val="26"/>
        </w:numPr>
        <w:jc w:val="both"/>
        <w:rPr>
          <w:rFonts w:cs="Times New Roman"/>
          <w:color w:val="000000" w:themeColor="text1"/>
          <w:sz w:val="28"/>
          <w:szCs w:val="28"/>
        </w:rPr>
      </w:pPr>
      <w:r w:rsidRPr="00ED3F31">
        <w:rPr>
          <w:rFonts w:cs="Times New Roman"/>
          <w:color w:val="000000" w:themeColor="text1"/>
          <w:sz w:val="28"/>
          <w:szCs w:val="28"/>
        </w:rPr>
        <w:t xml:space="preserve">L’Ente aderente, con la sottoscrizione della presente Convenzione, autorizza il trattamento dei propri dati personali per l’esecuzione di tutte le operazioni connesse all’attività </w:t>
      </w:r>
      <w:proofErr w:type="gramStart"/>
      <w:r w:rsidRPr="00ED3F31">
        <w:rPr>
          <w:rFonts w:cs="Times New Roman"/>
          <w:color w:val="000000" w:themeColor="text1"/>
          <w:sz w:val="28"/>
          <w:szCs w:val="28"/>
        </w:rPr>
        <w:t>posta in essere</w:t>
      </w:r>
      <w:proofErr w:type="gramEnd"/>
      <w:r w:rsidRPr="00ED3F31">
        <w:rPr>
          <w:rFonts w:cs="Times New Roman"/>
          <w:color w:val="000000" w:themeColor="text1"/>
          <w:sz w:val="28"/>
          <w:szCs w:val="28"/>
        </w:rPr>
        <w:t xml:space="preserve"> dalla SUA, incluse quelle di pubblicazione in forma elettronica in rete, ovvero riferibili alle pubblicazioni di legge e/o previste dal Codice dei Contratti Pubblici.</w:t>
      </w:r>
    </w:p>
    <w:p w14:paraId="5348488D" w14:textId="248309C4" w:rsidR="00171ACA" w:rsidRPr="00ED3F31" w:rsidRDefault="00171ACA" w:rsidP="007C30DB">
      <w:pPr>
        <w:pStyle w:val="Paragrafoelenco"/>
        <w:numPr>
          <w:ilvl w:val="0"/>
          <w:numId w:val="26"/>
        </w:numPr>
        <w:jc w:val="both"/>
        <w:rPr>
          <w:rFonts w:cs="Times New Roman"/>
          <w:color w:val="000000" w:themeColor="text1"/>
          <w:sz w:val="28"/>
          <w:szCs w:val="28"/>
        </w:rPr>
      </w:pPr>
      <w:r w:rsidRPr="00ED3F31">
        <w:rPr>
          <w:rFonts w:cs="Times New Roman"/>
          <w:color w:val="000000" w:themeColor="text1"/>
          <w:sz w:val="28"/>
          <w:szCs w:val="28"/>
        </w:rPr>
        <w:t xml:space="preserve">Con la sottoscrizione della presente Convenzione l’Ente aderente designa altresì la SUA quale Responsabile del trattamento dei dati personali ai sensi dell’art. 28, Reg. UE 2016/679, con riferimento a tutti i dati personali relativi </w:t>
      </w:r>
      <w:proofErr w:type="gramStart"/>
      <w:r w:rsidRPr="00ED3F31">
        <w:rPr>
          <w:rFonts w:cs="Times New Roman"/>
          <w:color w:val="000000" w:themeColor="text1"/>
          <w:sz w:val="28"/>
          <w:szCs w:val="28"/>
        </w:rPr>
        <w:t>alle procedura</w:t>
      </w:r>
      <w:proofErr w:type="gramEnd"/>
      <w:r w:rsidRPr="00ED3F31">
        <w:rPr>
          <w:rFonts w:cs="Times New Roman"/>
          <w:color w:val="000000" w:themeColor="text1"/>
          <w:sz w:val="28"/>
          <w:szCs w:val="28"/>
        </w:rPr>
        <w:t xml:space="preserve"> di gara, delegate alla SUA medesima, compresi quelli comunicati e/o resi noti dagli operatori </w:t>
      </w:r>
      <w:r w:rsidRPr="00ED3F31">
        <w:rPr>
          <w:rFonts w:cs="Times New Roman"/>
          <w:color w:val="000000" w:themeColor="text1"/>
          <w:sz w:val="28"/>
          <w:szCs w:val="28"/>
        </w:rPr>
        <w:lastRenderedPageBreak/>
        <w:t>economici. I dati di cui la SUA verrà in possesso nell’espletamento delle attività di cui alla presente Convenzione saranno finalizzati all’espletamento delle procedure di gara delegate, compresi gli atti connessi e consequenziali. La SUA si impegna a trattarli nelle forme e nei modi stabilità dal Regolamento UE 2016/679</w:t>
      </w:r>
      <w:r w:rsidR="009824B0" w:rsidRPr="00ED3F31">
        <w:rPr>
          <w:rFonts w:cs="Times New Roman"/>
          <w:color w:val="000000" w:themeColor="text1"/>
          <w:sz w:val="28"/>
          <w:szCs w:val="28"/>
        </w:rPr>
        <w:t>, assicurando la presenza di misure tecniche, organizzative e di sicurezza adeguate.</w:t>
      </w:r>
    </w:p>
    <w:p w14:paraId="51233287" w14:textId="367C5F35" w:rsidR="00171ACA" w:rsidRPr="00ED3F31" w:rsidRDefault="00171ACA" w:rsidP="007C30DB">
      <w:pPr>
        <w:pStyle w:val="Paragrafoelenco"/>
        <w:numPr>
          <w:ilvl w:val="0"/>
          <w:numId w:val="26"/>
        </w:numPr>
        <w:jc w:val="both"/>
        <w:rPr>
          <w:rFonts w:cs="Times New Roman"/>
          <w:i/>
          <w:color w:val="000000" w:themeColor="text1"/>
          <w:sz w:val="28"/>
          <w:szCs w:val="28"/>
        </w:rPr>
      </w:pPr>
      <w:r w:rsidRPr="00ED3F31">
        <w:rPr>
          <w:rFonts w:cs="Times New Roman"/>
          <w:color w:val="000000" w:themeColor="text1"/>
          <w:sz w:val="28"/>
          <w:szCs w:val="28"/>
        </w:rPr>
        <w:t xml:space="preserve">I dati saranno trattati da soggetti incaricati sia mediante acquisizione dei documenti in forma cartacea che elettronica e sono archiviati anche mediante procedure informatizzate, che ne garantiscano la riservatezza. Il trattamento viene effettuato con logiche di organizzazione ed elaborazione correlate e sono utilizzati standard di sicurezza elevati; vengono usate tecnologia ed applicativi correnti e i dati non sono oggetto di profilazione. </w:t>
      </w:r>
    </w:p>
    <w:p w14:paraId="25A541A7" w14:textId="77777777" w:rsidR="00171ACA" w:rsidRDefault="00171ACA" w:rsidP="00171ACA">
      <w:pPr>
        <w:jc w:val="both"/>
        <w:rPr>
          <w:rFonts w:cs="Times New Roman"/>
          <w:color w:val="FF0000"/>
          <w:sz w:val="28"/>
          <w:szCs w:val="28"/>
        </w:rPr>
      </w:pPr>
    </w:p>
    <w:p w14:paraId="529D2742" w14:textId="77777777" w:rsidR="00F0329B" w:rsidRDefault="00F0329B">
      <w:pPr>
        <w:rPr>
          <w:rFonts w:cs="Times New Roman"/>
          <w:sz w:val="28"/>
          <w:szCs w:val="28"/>
          <w:highlight w:val="yellow"/>
        </w:rPr>
      </w:pPr>
    </w:p>
    <w:p w14:paraId="71F7FA1F" w14:textId="77777777" w:rsidR="00F0329B" w:rsidRDefault="00206A24">
      <w:pPr>
        <w:rPr>
          <w:rFonts w:cs="Times New Roman"/>
          <w:sz w:val="28"/>
          <w:szCs w:val="28"/>
        </w:rPr>
      </w:pPr>
      <w:r>
        <w:rPr>
          <w:rFonts w:cs="Times New Roman"/>
          <w:sz w:val="28"/>
          <w:szCs w:val="28"/>
        </w:rPr>
        <w:t>Letto, approvato e sottoscritto con firme digitali.</w:t>
      </w:r>
    </w:p>
    <w:p w14:paraId="51436DB9" w14:textId="77777777" w:rsidR="00F0329B" w:rsidRDefault="00F0329B">
      <w:pPr>
        <w:rPr>
          <w:rFonts w:cs="Times New Roman"/>
          <w:sz w:val="28"/>
          <w:szCs w:val="28"/>
        </w:rPr>
      </w:pPr>
    </w:p>
    <w:p w14:paraId="22D532CB" w14:textId="77777777" w:rsidR="00F0329B" w:rsidRDefault="00F0329B">
      <w:pPr>
        <w:rPr>
          <w:rFonts w:cs="Times New Roman"/>
          <w:sz w:val="21"/>
          <w:szCs w:val="21"/>
          <w:highlight w:val="red"/>
        </w:rPr>
      </w:pPr>
    </w:p>
    <w:p w14:paraId="680A4E64" w14:textId="77777777" w:rsidR="00F0329B" w:rsidRDefault="00F0329B">
      <w:pPr>
        <w:rPr>
          <w:rFonts w:cs="Times New Roman"/>
          <w:sz w:val="21"/>
          <w:szCs w:val="21"/>
          <w:highlight w:val="red"/>
        </w:rPr>
      </w:pPr>
    </w:p>
    <w:p w14:paraId="6E6E3874" w14:textId="77777777" w:rsidR="00F0329B" w:rsidRDefault="00F0329B"/>
    <w:sectPr w:rsidR="00F0329B">
      <w:footerReference w:type="default" r:id="rId8"/>
      <w:pgSz w:w="11906" w:h="16838"/>
      <w:pgMar w:top="1134" w:right="1134" w:bottom="1134" w:left="1035"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9AA42" w14:textId="77777777" w:rsidR="00214416" w:rsidRDefault="00214416">
      <w:r>
        <w:separator/>
      </w:r>
    </w:p>
  </w:endnote>
  <w:endnote w:type="continuationSeparator" w:id="0">
    <w:p w14:paraId="37E5257E" w14:textId="77777777" w:rsidR="00214416" w:rsidRDefault="0021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OpenSymbol">
    <w:altName w:val="Arial Unicode MS"/>
    <w:charset w:val="00"/>
    <w:family w:val="roman"/>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699654"/>
      <w:docPartObj>
        <w:docPartGallery w:val="Page Numbers (Bottom of Page)"/>
        <w:docPartUnique/>
      </w:docPartObj>
    </w:sdtPr>
    <w:sdtEndPr/>
    <w:sdtContent>
      <w:p w14:paraId="7FE70A13" w14:textId="77777777" w:rsidR="009824B0" w:rsidRDefault="009824B0">
        <w:pPr>
          <w:pStyle w:val="Pidipagina"/>
          <w:jc w:val="center"/>
        </w:pPr>
        <w:r>
          <w:fldChar w:fldCharType="begin"/>
        </w:r>
        <w:r>
          <w:instrText>PAGE</w:instrText>
        </w:r>
        <w:r>
          <w:fldChar w:fldCharType="separate"/>
        </w:r>
        <w:r w:rsidR="00FF63F5">
          <w:rPr>
            <w:noProof/>
          </w:rPr>
          <w:t>17</w:t>
        </w:r>
        <w:r>
          <w:fldChar w:fldCharType="end"/>
        </w:r>
      </w:p>
    </w:sdtContent>
  </w:sdt>
  <w:p w14:paraId="5D7A678C" w14:textId="77777777" w:rsidR="009824B0" w:rsidRDefault="009824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B20CE" w14:textId="77777777" w:rsidR="00214416" w:rsidRDefault="00214416">
      <w:r>
        <w:separator/>
      </w:r>
    </w:p>
  </w:footnote>
  <w:footnote w:type="continuationSeparator" w:id="0">
    <w:p w14:paraId="03695826" w14:textId="77777777" w:rsidR="00214416" w:rsidRDefault="00214416">
      <w:r>
        <w:continuationSeparator/>
      </w:r>
    </w:p>
  </w:footnote>
  <w:footnote w:id="1">
    <w:p w14:paraId="26AECA8C" w14:textId="0036E194" w:rsidR="009824B0" w:rsidRDefault="009824B0">
      <w:pPr>
        <w:pStyle w:val="Testonotaapidipagina"/>
      </w:pPr>
      <w:r w:rsidRPr="00E021BF">
        <w:rPr>
          <w:rStyle w:val="Rimandonotaapidipagina"/>
          <w:highlight w:val="yellow"/>
        </w:rPr>
        <w:footnoteRef/>
      </w:r>
      <w:r w:rsidRPr="00E021BF">
        <w:rPr>
          <w:highlight w:val="yellow"/>
        </w:rPr>
        <w:t xml:space="preserve"> Si può prevedere anche una data fissa di scadenza per le convenzioni per gestire in modo coordinato i rinnovi.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3E6E"/>
    <w:multiLevelType w:val="multilevel"/>
    <w:tmpl w:val="6532CE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6C136B"/>
    <w:multiLevelType w:val="multilevel"/>
    <w:tmpl w:val="56B61244"/>
    <w:lvl w:ilvl="0">
      <w:start w:val="1"/>
      <w:numFmt w:val="decimal"/>
      <w:lvlText w:val="%1."/>
      <w:lvlJc w:val="left"/>
      <w:pPr>
        <w:ind w:left="360" w:hanging="360"/>
      </w:pPr>
      <w:rPr>
        <w:rFonts w:cs="Times New Roman"/>
        <w:sz w:val="28"/>
      </w:rPr>
    </w:lvl>
    <w:lvl w:ilvl="1">
      <w:start w:val="1"/>
      <w:numFmt w:val="lowerLetter"/>
      <w:lvlText w:val="%2)"/>
      <w:lvlJc w:val="left"/>
      <w:pPr>
        <w:ind w:left="0" w:hanging="360"/>
      </w:pPr>
      <w:rPr>
        <w:sz w:val="28"/>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ED24FE"/>
    <w:multiLevelType w:val="multilevel"/>
    <w:tmpl w:val="9FA2AB4A"/>
    <w:lvl w:ilvl="0">
      <w:start w:val="1"/>
      <w:numFmt w:val="decimal"/>
      <w:lvlText w:val="%1."/>
      <w:lvlJc w:val="left"/>
      <w:pPr>
        <w:ind w:left="360" w:hanging="360"/>
      </w:pPr>
    </w:lvl>
    <w:lvl w:ilvl="1">
      <w:start w:val="2"/>
      <w:numFmt w:val="bullet"/>
      <w:lvlText w:val="-"/>
      <w:lvlJc w:val="left"/>
      <w:pPr>
        <w:ind w:left="1440" w:hanging="360"/>
      </w:pPr>
      <w:rPr>
        <w:rFonts w:ascii="Aptos" w:hAnsi="Aptos" w:cs="Times New Roman" w:hint="default"/>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2513E1"/>
    <w:multiLevelType w:val="multilevel"/>
    <w:tmpl w:val="C9DA2624"/>
    <w:lvl w:ilvl="0">
      <w:start w:val="1"/>
      <w:numFmt w:val="decimal"/>
      <w:lvlText w:val="%1."/>
      <w:lvlJc w:val="left"/>
      <w:pPr>
        <w:ind w:left="360" w:hanging="360"/>
      </w:pPr>
      <w:rPr>
        <w:sz w:val="28"/>
        <w:szCs w:val="28"/>
      </w:rPr>
    </w:lvl>
    <w:lvl w:ilvl="1">
      <w:start w:val="1"/>
      <w:numFmt w:val="lowerLetter"/>
      <w:lvlText w:val="%2)"/>
      <w:lvlJc w:val="left"/>
      <w:pPr>
        <w:ind w:left="36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EE030A"/>
    <w:multiLevelType w:val="multilevel"/>
    <w:tmpl w:val="AF7A782E"/>
    <w:lvl w:ilvl="0">
      <w:start w:val="1"/>
      <w:numFmt w:val="decimal"/>
      <w:lvlText w:val="%1."/>
      <w:lvlJc w:val="left"/>
      <w:pPr>
        <w:ind w:left="720" w:hanging="360"/>
      </w:pPr>
    </w:lvl>
    <w:lvl w:ilvl="1">
      <w:start w:val="1"/>
      <w:numFmt w:val="lowerLetter"/>
      <w:lvlText w:val="%2."/>
      <w:lvlJc w:val="left"/>
      <w:pPr>
        <w:ind w:left="360" w:hanging="360"/>
      </w:pPr>
      <w:rPr>
        <w:sz w:val="28"/>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636480"/>
    <w:multiLevelType w:val="multilevel"/>
    <w:tmpl w:val="853484F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18AE0D43"/>
    <w:multiLevelType w:val="multilevel"/>
    <w:tmpl w:val="EBC47826"/>
    <w:lvl w:ilvl="0">
      <w:start w:val="1"/>
      <w:numFmt w:val="decimal"/>
      <w:lvlText w:val="%1."/>
      <w:lvlJc w:val="left"/>
      <w:pPr>
        <w:ind w:left="720" w:hanging="360"/>
      </w:pPr>
    </w:lvl>
    <w:lvl w:ilvl="1">
      <w:start w:val="1"/>
      <w:numFmt w:val="lowerLetter"/>
      <w:lvlText w:val="%2."/>
      <w:lvlJc w:val="left"/>
      <w:pPr>
        <w:ind w:left="360" w:hanging="360"/>
      </w:pPr>
      <w:rPr>
        <w:sz w:val="28"/>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BE51DE"/>
    <w:multiLevelType w:val="multilevel"/>
    <w:tmpl w:val="150CD456"/>
    <w:lvl w:ilvl="0">
      <w:start w:val="1"/>
      <w:numFmt w:val="decimal"/>
      <w:lvlText w:val="%1."/>
      <w:lvlJc w:val="left"/>
      <w:pPr>
        <w:ind w:left="360" w:hanging="360"/>
      </w:pPr>
      <w:rPr>
        <w:rFonts w:cs="Times New Roman"/>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82E362B"/>
    <w:multiLevelType w:val="multilevel"/>
    <w:tmpl w:val="9DC62730"/>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8DE037D"/>
    <w:multiLevelType w:val="multilevel"/>
    <w:tmpl w:val="F47023E8"/>
    <w:lvl w:ilvl="0">
      <w:start w:val="1"/>
      <w:numFmt w:val="decimal"/>
      <w:lvlText w:val="%1."/>
      <w:lvlJc w:val="left"/>
      <w:pPr>
        <w:ind w:left="360" w:hanging="360"/>
      </w:pPr>
      <w:rPr>
        <w:rFonts w:cs="Times New Roman"/>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D694CCB"/>
    <w:multiLevelType w:val="multilevel"/>
    <w:tmpl w:val="A5264842"/>
    <w:lvl w:ilvl="0">
      <w:start w:val="1"/>
      <w:numFmt w:val="decimal"/>
      <w:lvlText w:val="%1."/>
      <w:lvlJc w:val="left"/>
      <w:pPr>
        <w:ind w:left="360" w:hanging="360"/>
      </w:pPr>
      <w:rPr>
        <w:rFonts w:cs="Times New Roman"/>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0206EDF"/>
    <w:multiLevelType w:val="multilevel"/>
    <w:tmpl w:val="496AE7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2E7107D"/>
    <w:multiLevelType w:val="multilevel"/>
    <w:tmpl w:val="90C68D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86C540B"/>
    <w:multiLevelType w:val="multilevel"/>
    <w:tmpl w:val="F38C08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95D72B0"/>
    <w:multiLevelType w:val="multilevel"/>
    <w:tmpl w:val="2458C2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9634B3D"/>
    <w:multiLevelType w:val="multilevel"/>
    <w:tmpl w:val="3E269440"/>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AAC11D9"/>
    <w:multiLevelType w:val="multilevel"/>
    <w:tmpl w:val="BC2ED9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CF70890"/>
    <w:multiLevelType w:val="multilevel"/>
    <w:tmpl w:val="6508543E"/>
    <w:lvl w:ilvl="0">
      <w:start w:val="1"/>
      <w:numFmt w:val="decimal"/>
      <w:lvlText w:val="%1."/>
      <w:lvlJc w:val="left"/>
      <w:pPr>
        <w:ind w:left="360" w:hanging="360"/>
      </w:pPr>
      <w:rPr>
        <w:sz w:val="28"/>
        <w:szCs w:val="28"/>
      </w:rPr>
    </w:lvl>
    <w:lvl w:ilvl="1">
      <w:start w:val="1"/>
      <w:numFmt w:val="lowerLetter"/>
      <w:lvlText w:val="%2)"/>
      <w:lvlJc w:val="left"/>
      <w:pPr>
        <w:ind w:left="36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F928D9"/>
    <w:multiLevelType w:val="multilevel"/>
    <w:tmpl w:val="9622FE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0FD7E37"/>
    <w:multiLevelType w:val="multilevel"/>
    <w:tmpl w:val="33607910"/>
    <w:lvl w:ilvl="0">
      <w:start w:val="1"/>
      <w:numFmt w:val="decimal"/>
      <w:lvlText w:val="%1."/>
      <w:lvlJc w:val="left"/>
      <w:pPr>
        <w:ind w:left="360" w:hanging="360"/>
      </w:pPr>
      <w:rPr>
        <w:sz w:val="28"/>
        <w:szCs w:val="28"/>
      </w:rPr>
    </w:lvl>
    <w:lvl w:ilvl="1">
      <w:start w:val="1"/>
      <w:numFmt w:val="decimal"/>
      <w:lvlText w:val="%2."/>
      <w:lvlJc w:val="left"/>
      <w:pPr>
        <w:ind w:left="36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E2648D"/>
    <w:multiLevelType w:val="multilevel"/>
    <w:tmpl w:val="5A34E94C"/>
    <w:lvl w:ilvl="0">
      <w:start w:val="1"/>
      <w:numFmt w:val="decimal"/>
      <w:lvlText w:val="%1."/>
      <w:lvlJc w:val="left"/>
      <w:pPr>
        <w:ind w:left="360" w:hanging="360"/>
      </w:pPr>
      <w:rPr>
        <w:i w:val="0"/>
        <w:iCs w:val="0"/>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932408A"/>
    <w:multiLevelType w:val="multilevel"/>
    <w:tmpl w:val="7956460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4A7D58B1"/>
    <w:multiLevelType w:val="multilevel"/>
    <w:tmpl w:val="AA1A3C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B60563"/>
    <w:multiLevelType w:val="multilevel"/>
    <w:tmpl w:val="AC222D7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15:restartNumberingAfterBreak="0">
    <w:nsid w:val="54283E30"/>
    <w:multiLevelType w:val="multilevel"/>
    <w:tmpl w:val="05CCC38C"/>
    <w:lvl w:ilvl="0">
      <w:start w:val="1"/>
      <w:numFmt w:val="decimal"/>
      <w:lvlText w:val="%1."/>
      <w:lvlJc w:val="left"/>
      <w:pPr>
        <w:ind w:left="720" w:hanging="360"/>
      </w:pPr>
      <w:rPr>
        <w:sz w:val="28"/>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AF244E7"/>
    <w:multiLevelType w:val="multilevel"/>
    <w:tmpl w:val="1876DFE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5C7B147C"/>
    <w:multiLevelType w:val="multilevel"/>
    <w:tmpl w:val="05CE18B2"/>
    <w:lvl w:ilvl="0">
      <w:start w:val="1"/>
      <w:numFmt w:val="bullet"/>
      <w:lvlText w:val=""/>
      <w:lvlJc w:val="left"/>
      <w:pPr>
        <w:ind w:left="360" w:hanging="360"/>
      </w:pPr>
      <w:rPr>
        <w:rFonts w:ascii="Symbol" w:hAnsi="Symbol" w:cs="Symbol" w:hint="default"/>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5D3A3955"/>
    <w:multiLevelType w:val="multilevel"/>
    <w:tmpl w:val="6F2E9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E35773"/>
    <w:multiLevelType w:val="multilevel"/>
    <w:tmpl w:val="368C0B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60711B59"/>
    <w:multiLevelType w:val="multilevel"/>
    <w:tmpl w:val="A00A42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19B4108"/>
    <w:multiLevelType w:val="multilevel"/>
    <w:tmpl w:val="A2AAF7AC"/>
    <w:lvl w:ilvl="0">
      <w:start w:val="1"/>
      <w:numFmt w:val="decimal"/>
      <w:lvlText w:val="%1."/>
      <w:lvlJc w:val="left"/>
      <w:pPr>
        <w:ind w:left="360" w:hanging="360"/>
      </w:pPr>
      <w:rPr>
        <w:sz w:val="28"/>
        <w:szCs w:val="28"/>
      </w:rPr>
    </w:lvl>
    <w:lvl w:ilvl="1">
      <w:start w:val="1"/>
      <w:numFmt w:val="lowerLetter"/>
      <w:lvlText w:val="%2)"/>
      <w:lvlJc w:val="left"/>
      <w:pPr>
        <w:ind w:left="360" w:hanging="360"/>
      </w:pPr>
      <w:rPr>
        <w:rFonts w:cs="Times New Roman"/>
        <w:color w:val="auto"/>
        <w:sz w:val="28"/>
        <w:szCs w:val="24"/>
        <w:highlight w:val="red"/>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F173A3"/>
    <w:multiLevelType w:val="multilevel"/>
    <w:tmpl w:val="EDFEC73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563858"/>
    <w:multiLevelType w:val="multilevel"/>
    <w:tmpl w:val="A9C80B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7B656E0"/>
    <w:multiLevelType w:val="multilevel"/>
    <w:tmpl w:val="3DFE96D4"/>
    <w:lvl w:ilvl="0">
      <w:start w:val="1"/>
      <w:numFmt w:val="decimal"/>
      <w:lvlText w:val="%1."/>
      <w:lvlJc w:val="left"/>
      <w:pPr>
        <w:ind w:left="360" w:hanging="360"/>
      </w:pPr>
      <w:rPr>
        <w:rFonts w:cs="Times New Roman"/>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27978485">
    <w:abstractNumId w:val="22"/>
  </w:num>
  <w:num w:numId="2" w16cid:durableId="2025981629">
    <w:abstractNumId w:val="27"/>
  </w:num>
  <w:num w:numId="3" w16cid:durableId="406265216">
    <w:abstractNumId w:val="24"/>
  </w:num>
  <w:num w:numId="4" w16cid:durableId="677999348">
    <w:abstractNumId w:val="26"/>
  </w:num>
  <w:num w:numId="5" w16cid:durableId="1192185487">
    <w:abstractNumId w:val="31"/>
  </w:num>
  <w:num w:numId="6" w16cid:durableId="1402413173">
    <w:abstractNumId w:val="9"/>
  </w:num>
  <w:num w:numId="7" w16cid:durableId="208033760">
    <w:abstractNumId w:val="10"/>
  </w:num>
  <w:num w:numId="8" w16cid:durableId="1662194802">
    <w:abstractNumId w:val="33"/>
  </w:num>
  <w:num w:numId="9" w16cid:durableId="1445998280">
    <w:abstractNumId w:val="30"/>
  </w:num>
  <w:num w:numId="10" w16cid:durableId="1613976865">
    <w:abstractNumId w:val="4"/>
  </w:num>
  <w:num w:numId="11" w16cid:durableId="1228417483">
    <w:abstractNumId w:val="2"/>
  </w:num>
  <w:num w:numId="12" w16cid:durableId="120073239">
    <w:abstractNumId w:val="29"/>
  </w:num>
  <w:num w:numId="13" w16cid:durableId="1337460714">
    <w:abstractNumId w:val="16"/>
  </w:num>
  <w:num w:numId="14" w16cid:durableId="1871843980">
    <w:abstractNumId w:val="1"/>
  </w:num>
  <w:num w:numId="15" w16cid:durableId="1696883933">
    <w:abstractNumId w:val="14"/>
  </w:num>
  <w:num w:numId="16" w16cid:durableId="1823545036">
    <w:abstractNumId w:val="6"/>
  </w:num>
  <w:num w:numId="17" w16cid:durableId="1995134312">
    <w:abstractNumId w:val="12"/>
  </w:num>
  <w:num w:numId="18" w16cid:durableId="1890460308">
    <w:abstractNumId w:val="15"/>
  </w:num>
  <w:num w:numId="19" w16cid:durableId="1728648209">
    <w:abstractNumId w:val="8"/>
  </w:num>
  <w:num w:numId="20" w16cid:durableId="66541376">
    <w:abstractNumId w:val="18"/>
  </w:num>
  <w:num w:numId="21" w16cid:durableId="1049568487">
    <w:abstractNumId w:val="11"/>
  </w:num>
  <w:num w:numId="22" w16cid:durableId="1294366078">
    <w:abstractNumId w:val="32"/>
  </w:num>
  <w:num w:numId="23" w16cid:durableId="1483278477">
    <w:abstractNumId w:val="13"/>
  </w:num>
  <w:num w:numId="24" w16cid:durableId="1399747971">
    <w:abstractNumId w:val="7"/>
  </w:num>
  <w:num w:numId="25" w16cid:durableId="1200243259">
    <w:abstractNumId w:val="0"/>
  </w:num>
  <w:num w:numId="26" w16cid:durableId="173614726">
    <w:abstractNumId w:val="20"/>
  </w:num>
  <w:num w:numId="27" w16cid:durableId="862521401">
    <w:abstractNumId w:val="5"/>
  </w:num>
  <w:num w:numId="28" w16cid:durableId="87701654">
    <w:abstractNumId w:val="23"/>
  </w:num>
  <w:num w:numId="29" w16cid:durableId="8216984">
    <w:abstractNumId w:val="25"/>
  </w:num>
  <w:num w:numId="30" w16cid:durableId="87166890">
    <w:abstractNumId w:val="21"/>
  </w:num>
  <w:num w:numId="31" w16cid:durableId="1535775254">
    <w:abstractNumId w:val="28"/>
  </w:num>
  <w:num w:numId="32" w16cid:durableId="2049992819">
    <w:abstractNumId w:val="19"/>
  </w:num>
  <w:num w:numId="33" w16cid:durableId="1255434019">
    <w:abstractNumId w:val="17"/>
  </w:num>
  <w:num w:numId="34" w16cid:durableId="1503813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6"/>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9B"/>
    <w:rsid w:val="00023A4A"/>
    <w:rsid w:val="00083206"/>
    <w:rsid w:val="00152750"/>
    <w:rsid w:val="00171ACA"/>
    <w:rsid w:val="001B6F7A"/>
    <w:rsid w:val="00206A24"/>
    <w:rsid w:val="00214416"/>
    <w:rsid w:val="00433C52"/>
    <w:rsid w:val="004C57F7"/>
    <w:rsid w:val="00510981"/>
    <w:rsid w:val="005117DE"/>
    <w:rsid w:val="00550FE5"/>
    <w:rsid w:val="00601BEC"/>
    <w:rsid w:val="006B405F"/>
    <w:rsid w:val="007C30DB"/>
    <w:rsid w:val="0089123F"/>
    <w:rsid w:val="00912F09"/>
    <w:rsid w:val="00934507"/>
    <w:rsid w:val="0095167A"/>
    <w:rsid w:val="009824B0"/>
    <w:rsid w:val="00A34432"/>
    <w:rsid w:val="00BE70A2"/>
    <w:rsid w:val="00C24027"/>
    <w:rsid w:val="00C817AF"/>
    <w:rsid w:val="00D376D3"/>
    <w:rsid w:val="00DC0849"/>
    <w:rsid w:val="00E021BF"/>
    <w:rsid w:val="00E51DB7"/>
    <w:rsid w:val="00EC0AA7"/>
    <w:rsid w:val="00ED3F31"/>
    <w:rsid w:val="00F0329B"/>
    <w:rsid w:val="00FF63F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B9D6"/>
  <w15:docId w15:val="{841AF6CC-1B53-4149-B369-724D5F2F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ndale Sans UI" w:hAnsi="Times New Roman" w:cs="Tahoma"/>
        <w:kern w:val="2"/>
        <w:sz w:val="24"/>
        <w:szCs w:val="24"/>
        <w:lang w:val="de-DE" w:eastAsia="ja-JP"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textAlignment w:val="baseline"/>
    </w:pPr>
    <w:rPr>
      <w:lang w:val="it-IT"/>
    </w:rPr>
  </w:style>
  <w:style w:type="paragraph" w:styleId="Titolo1">
    <w:name w:val="heading 1"/>
    <w:uiPriority w:val="9"/>
    <w:qFormat/>
    <w:pPr>
      <w:widowControl w:val="0"/>
      <w:spacing w:after="120" w:line="360" w:lineRule="auto"/>
      <w:jc w:val="center"/>
      <w:outlineLvl w:val="0"/>
    </w:pPr>
    <w:rPr>
      <w:rFonts w:ascii="Trebuchet MS" w:eastAsia="Trebuchet MS" w:hAnsi="Trebuchet MS" w:cs="Trebuchet MS"/>
      <w:b/>
      <w:bCs/>
      <w:sz w:val="28"/>
      <w:szCs w:val="28"/>
      <w:lang w:val="it-IT"/>
    </w:rPr>
  </w:style>
  <w:style w:type="paragraph" w:styleId="Titolo2">
    <w:name w:val="heading 2"/>
    <w:basedOn w:val="Normale"/>
    <w:link w:val="Titolo2Carattere"/>
    <w:uiPriority w:val="9"/>
    <w:unhideWhenUsed/>
    <w:qFormat/>
    <w:rsid w:val="002E165B"/>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styleId="Rimandocommento">
    <w:name w:val="annotation reference"/>
    <w:basedOn w:val="Carpredefinitoparagrafo"/>
    <w:qFormat/>
    <w:rPr>
      <w:sz w:val="16"/>
      <w:szCs w:val="16"/>
    </w:rPr>
  </w:style>
  <w:style w:type="character" w:customStyle="1" w:styleId="TestocommentoCarattere">
    <w:name w:val="Testo commento Carattere"/>
    <w:basedOn w:val="Carpredefinitoparagrafo"/>
    <w:qFormat/>
    <w:rPr>
      <w:sz w:val="20"/>
      <w:szCs w:val="20"/>
    </w:rPr>
  </w:style>
  <w:style w:type="character" w:customStyle="1" w:styleId="SoggettocommentoCarattere">
    <w:name w:val="Soggetto commento Carattere"/>
    <w:basedOn w:val="TestocommentoCarattere"/>
    <w:qFormat/>
    <w:rPr>
      <w:b/>
      <w:bCs/>
      <w:sz w:val="20"/>
      <w:szCs w:val="20"/>
    </w:rPr>
  </w:style>
  <w:style w:type="character" w:customStyle="1" w:styleId="Titolo1Carattere">
    <w:name w:val="Titolo 1 Carattere"/>
    <w:basedOn w:val="Carpredefinitoparagrafo"/>
    <w:qFormat/>
    <w:rPr>
      <w:rFonts w:ascii="Trebuchet MS" w:eastAsia="Trebuchet MS" w:hAnsi="Trebuchet MS" w:cs="Trebuchet MS"/>
      <w:sz w:val="28"/>
      <w:szCs w:val="28"/>
      <w:lang w:val="it-IT"/>
    </w:rPr>
  </w:style>
  <w:style w:type="character" w:customStyle="1" w:styleId="CollegamentoInternet">
    <w:name w:val="Collegamento Internet"/>
    <w:basedOn w:val="Carpredefinitoparagrafo"/>
    <w:uiPriority w:val="99"/>
    <w:rPr>
      <w:color w:val="0563C1"/>
      <w:u w:val="single"/>
    </w:rPr>
  </w:style>
  <w:style w:type="character" w:customStyle="1" w:styleId="TitoloCarattere">
    <w:name w:val="Titolo Carattere"/>
    <w:basedOn w:val="Carpredefinitoparagrafo"/>
    <w:link w:val="Titolo10"/>
    <w:uiPriority w:val="10"/>
    <w:qFormat/>
    <w:rsid w:val="002E165B"/>
    <w:rPr>
      <w:rFonts w:asciiTheme="majorHAnsi" w:eastAsiaTheme="majorEastAsia" w:hAnsiTheme="majorHAnsi" w:cstheme="majorBidi"/>
      <w:spacing w:val="-10"/>
      <w:kern w:val="2"/>
      <w:sz w:val="56"/>
      <w:szCs w:val="56"/>
      <w:lang w:val="it-IT"/>
    </w:rPr>
  </w:style>
  <w:style w:type="character" w:customStyle="1" w:styleId="SottotitoloCarattere">
    <w:name w:val="Sottotitolo Carattere"/>
    <w:basedOn w:val="Carpredefinitoparagrafo"/>
    <w:link w:val="Sottotitolo"/>
    <w:uiPriority w:val="11"/>
    <w:qFormat/>
    <w:rsid w:val="002E165B"/>
    <w:rPr>
      <w:rFonts w:asciiTheme="minorHAnsi" w:eastAsiaTheme="minorEastAsia" w:hAnsiTheme="minorHAnsi" w:cstheme="minorBidi"/>
      <w:color w:val="5A5A5A" w:themeColor="text1" w:themeTint="A5"/>
      <w:spacing w:val="15"/>
      <w:sz w:val="22"/>
      <w:szCs w:val="22"/>
      <w:lang w:val="it-IT"/>
    </w:rPr>
  </w:style>
  <w:style w:type="character" w:customStyle="1" w:styleId="Titolo2Carattere">
    <w:name w:val="Titolo 2 Carattere"/>
    <w:basedOn w:val="Carpredefinitoparagrafo"/>
    <w:link w:val="Titolo2"/>
    <w:uiPriority w:val="9"/>
    <w:qFormat/>
    <w:rsid w:val="002E165B"/>
    <w:rPr>
      <w:rFonts w:asciiTheme="majorHAnsi" w:eastAsiaTheme="majorEastAsia" w:hAnsiTheme="majorHAnsi" w:cstheme="majorBidi"/>
      <w:color w:val="0F4761" w:themeColor="accent1" w:themeShade="BF"/>
      <w:sz w:val="26"/>
      <w:szCs w:val="26"/>
      <w:lang w:val="it-IT"/>
    </w:rPr>
  </w:style>
  <w:style w:type="character" w:customStyle="1" w:styleId="Internetlink">
    <w:name w:val="Internet link"/>
    <w:qFormat/>
    <w:rPr>
      <w:color w:val="000080"/>
      <w:u w:val="single"/>
    </w:rPr>
  </w:style>
  <w:style w:type="character" w:customStyle="1" w:styleId="VisitedInternetLink">
    <w:name w:val="Visited Internet Link"/>
    <w:qFormat/>
    <w:rPr>
      <w:color w:val="800000"/>
      <w:u w:val="single"/>
    </w:rPr>
  </w:style>
  <w:style w:type="character" w:customStyle="1" w:styleId="IntestazioneCarattere">
    <w:name w:val="Intestazione Carattere"/>
    <w:basedOn w:val="Carpredefinitoparagrafo"/>
    <w:link w:val="Intestazione"/>
    <w:uiPriority w:val="99"/>
    <w:qFormat/>
    <w:rsid w:val="00FB3AB6"/>
    <w:rPr>
      <w:lang w:val="it-IT"/>
    </w:rPr>
  </w:style>
  <w:style w:type="character" w:customStyle="1" w:styleId="PidipaginaCarattere">
    <w:name w:val="Piè di pagina Carattere"/>
    <w:basedOn w:val="Carpredefinitoparagrafo"/>
    <w:link w:val="Pidipagina"/>
    <w:uiPriority w:val="99"/>
    <w:qFormat/>
    <w:rsid w:val="00FB3AB6"/>
    <w:rPr>
      <w:lang w:val="it-I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sz w:val="28"/>
    </w:rPr>
  </w:style>
  <w:style w:type="character" w:customStyle="1" w:styleId="ListLabel5">
    <w:name w:val="ListLabel 5"/>
    <w:qFormat/>
    <w:rPr>
      <w:sz w:val="28"/>
    </w:rPr>
  </w:style>
  <w:style w:type="character" w:customStyle="1" w:styleId="ListLabel6">
    <w:name w:val="ListLabel 6"/>
    <w:qFormat/>
    <w:rPr>
      <w:sz w:val="28"/>
      <w:szCs w:val="24"/>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8"/>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Times New Roman"/>
      <w:sz w:val="28"/>
    </w:rPr>
  </w:style>
  <w:style w:type="character" w:customStyle="1" w:styleId="ListLabel15">
    <w:name w:val="ListLabel 15"/>
    <w:qFormat/>
    <w:rPr>
      <w:rFonts w:cs="Times New Roman"/>
      <w:sz w:val="28"/>
    </w:rPr>
  </w:style>
  <w:style w:type="character" w:customStyle="1" w:styleId="ListLabel16">
    <w:name w:val="ListLabel 16"/>
    <w:qFormat/>
    <w:rPr>
      <w:rFonts w:cs="Times New Roman"/>
      <w:sz w:val="28"/>
    </w:rPr>
  </w:style>
  <w:style w:type="character" w:customStyle="1" w:styleId="ListLabel17">
    <w:name w:val="ListLabel 17"/>
    <w:qFormat/>
    <w:rPr>
      <w:sz w:val="28"/>
      <w:szCs w:val="28"/>
    </w:rPr>
  </w:style>
  <w:style w:type="character" w:customStyle="1" w:styleId="ListLabel18">
    <w:name w:val="ListLabel 18"/>
    <w:qFormat/>
    <w:rPr>
      <w:rFonts w:cs="Times New Roman"/>
      <w:color w:val="CE181E"/>
      <w:sz w:val="28"/>
      <w:szCs w:val="24"/>
      <w:highlight w:val="red"/>
    </w:rPr>
  </w:style>
  <w:style w:type="character" w:customStyle="1" w:styleId="ListLabel19">
    <w:name w:val="ListLabel 19"/>
    <w:qFormat/>
    <w:rPr>
      <w:sz w:val="28"/>
      <w:szCs w:val="24"/>
    </w:rPr>
  </w:style>
  <w:style w:type="character" w:customStyle="1" w:styleId="ListLabel20">
    <w:name w:val="ListLabel 20"/>
    <w:qFormat/>
    <w:rPr>
      <w:rFonts w:eastAsia="Andale Sans UI" w:cs="Times New Roman"/>
      <w:sz w:val="28"/>
    </w:rPr>
  </w:style>
  <w:style w:type="character" w:customStyle="1" w:styleId="ListLabel21">
    <w:name w:val="ListLabel 21"/>
    <w:qFormat/>
    <w:rPr>
      <w:rFonts w:cs="Times New Roman"/>
      <w:sz w:val="28"/>
    </w:rPr>
  </w:style>
  <w:style w:type="character" w:customStyle="1" w:styleId="ListLabel22">
    <w:name w:val="ListLabel 22"/>
    <w:qFormat/>
    <w:rPr>
      <w:sz w:val="28"/>
      <w:szCs w:val="24"/>
    </w:rPr>
  </w:style>
  <w:style w:type="character" w:customStyle="1" w:styleId="ListLabel23">
    <w:name w:val="ListLabel 23"/>
    <w:qFormat/>
    <w:rPr>
      <w:sz w:val="28"/>
      <w:szCs w:val="24"/>
    </w:rPr>
  </w:style>
  <w:style w:type="character" w:customStyle="1" w:styleId="ListLabel24">
    <w:name w:val="ListLabel 24"/>
    <w:qFormat/>
    <w:rPr>
      <w:sz w:val="28"/>
      <w:szCs w:val="28"/>
    </w:rPr>
  </w:style>
  <w:style w:type="character" w:customStyle="1" w:styleId="ListLabel25">
    <w:name w:val="ListLabel 25"/>
    <w:qFormat/>
    <w:rPr>
      <w:sz w:val="28"/>
      <w:szCs w:val="28"/>
    </w:rPr>
  </w:style>
  <w:style w:type="character" w:customStyle="1" w:styleId="ListLabel26">
    <w:name w:val="ListLabel 26"/>
    <w:qFormat/>
    <w:rPr>
      <w:rFonts w:cs="Times New Roman"/>
      <w:sz w:val="28"/>
    </w:rPr>
  </w:style>
  <w:style w:type="character" w:customStyle="1" w:styleId="ListLabel27">
    <w:name w:val="ListLabel 27"/>
    <w:qFormat/>
    <w:rPr>
      <w:rFonts w:cs="Times New Roman"/>
      <w:sz w:val="28"/>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Saltoaindice">
    <w:name w:val="Salto a indice"/>
    <w:qFormat/>
  </w:style>
  <w:style w:type="paragraph" w:customStyle="1" w:styleId="Titolo10">
    <w:name w:val="Titolo1"/>
    <w:basedOn w:val="Standard"/>
    <w:next w:val="Corpotesto"/>
    <w:link w:val="TitoloCarattere"/>
    <w:qFormat/>
    <w:pPr>
      <w:keepNext/>
      <w:spacing w:before="240" w:after="120"/>
    </w:pPr>
    <w:rPr>
      <w:rFonts w:ascii="Arial" w:eastAsia="Arial" w:hAnsi="Arial" w:cs="Arial"/>
      <w:sz w:val="28"/>
      <w:szCs w:val="28"/>
    </w:rPr>
  </w:style>
  <w:style w:type="paragraph" w:styleId="Corpotesto">
    <w:name w:val="Body Text"/>
    <w:basedOn w:val="Normale"/>
    <w:pPr>
      <w:spacing w:after="140" w:line="288" w:lineRule="auto"/>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ice">
    <w:name w:val="Indice"/>
    <w:basedOn w:val="Standard"/>
    <w:qFormat/>
    <w:pPr>
      <w:suppressLineNumbers/>
    </w:pPr>
  </w:style>
  <w:style w:type="paragraph" w:customStyle="1" w:styleId="Standard">
    <w:name w:val="Standard"/>
    <w:qFormat/>
    <w:pPr>
      <w:suppressAutoHyphens/>
    </w:pPr>
  </w:style>
  <w:style w:type="paragraph" w:customStyle="1" w:styleId="Textbody">
    <w:name w:val="Text body"/>
    <w:basedOn w:val="Standard"/>
    <w:qFormat/>
    <w:pPr>
      <w:spacing w:after="120"/>
    </w:pPr>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styleId="Testocommento">
    <w:name w:val="annotation text"/>
    <w:basedOn w:val="Normale"/>
    <w:qFormat/>
    <w:rPr>
      <w:sz w:val="20"/>
      <w:szCs w:val="20"/>
    </w:rPr>
  </w:style>
  <w:style w:type="paragraph" w:styleId="Soggettocommento">
    <w:name w:val="annotation subject"/>
    <w:basedOn w:val="Testocommento"/>
    <w:qFormat/>
    <w:rPr>
      <w:b/>
      <w:bCs/>
    </w:rPr>
  </w:style>
  <w:style w:type="paragraph" w:styleId="Titolosommario">
    <w:name w:val="TOC Heading"/>
    <w:basedOn w:val="Titolo1"/>
    <w:uiPriority w:val="39"/>
    <w:qFormat/>
    <w:pPr>
      <w:widowControl/>
      <w:spacing w:line="240" w:lineRule="auto"/>
    </w:pPr>
    <w:rPr>
      <w:kern w:val="0"/>
      <w:lang w:eastAsia="it-IT" w:bidi="ar-SA"/>
    </w:rPr>
  </w:style>
  <w:style w:type="paragraph" w:styleId="Sommario1">
    <w:name w:val="toc 1"/>
    <w:basedOn w:val="Normale"/>
    <w:autoRedefine/>
    <w:uiPriority w:val="39"/>
    <w:pPr>
      <w:tabs>
        <w:tab w:val="right" w:leader="dot" w:pos="9726"/>
      </w:tabs>
      <w:spacing w:after="100"/>
      <w:jc w:val="both"/>
    </w:pPr>
  </w:style>
  <w:style w:type="paragraph" w:styleId="Revisione">
    <w:name w:val="Revision"/>
    <w:qFormat/>
    <w:rPr>
      <w:lang w:val="it-IT"/>
    </w:rPr>
  </w:style>
  <w:style w:type="paragraph" w:customStyle="1" w:styleId="Testocitato">
    <w:name w:val="Testo citato"/>
    <w:basedOn w:val="Standard"/>
    <w:qFormat/>
    <w:pPr>
      <w:spacing w:after="283"/>
      <w:ind w:left="567" w:right="567"/>
    </w:pPr>
  </w:style>
  <w:style w:type="paragraph" w:customStyle="1" w:styleId="Legale50x25Pag1">
    <w:name w:val="Legale50x25Pag1"/>
    <w:basedOn w:val="Standard"/>
    <w:qFormat/>
    <w:rPr>
      <w:rFonts w:ascii="Arial" w:eastAsia="Arial" w:hAnsi="Arial" w:cs="Arial"/>
      <w:sz w:val="20"/>
      <w:szCs w:val="20"/>
    </w:rPr>
  </w:style>
  <w:style w:type="paragraph" w:styleId="Titolo">
    <w:name w:val="Title"/>
    <w:basedOn w:val="Normale"/>
    <w:uiPriority w:val="10"/>
    <w:qFormat/>
    <w:rsid w:val="002E165B"/>
    <w:pPr>
      <w:contextualSpacing/>
    </w:pPr>
    <w:rPr>
      <w:rFonts w:asciiTheme="majorHAnsi" w:eastAsiaTheme="majorEastAsia" w:hAnsiTheme="majorHAnsi" w:cstheme="majorBidi"/>
      <w:spacing w:val="-10"/>
      <w:sz w:val="56"/>
      <w:szCs w:val="56"/>
    </w:rPr>
  </w:style>
  <w:style w:type="paragraph" w:styleId="Sottotitolo">
    <w:name w:val="Subtitle"/>
    <w:basedOn w:val="Normale"/>
    <w:link w:val="SottotitoloCarattere"/>
    <w:uiPriority w:val="11"/>
    <w:qFormat/>
    <w:rsid w:val="002E165B"/>
    <w:pPr>
      <w:spacing w:after="160"/>
    </w:pPr>
    <w:rPr>
      <w:rFonts w:asciiTheme="minorHAnsi" w:eastAsiaTheme="minorEastAsia" w:hAnsiTheme="minorHAnsi" w:cstheme="minorBidi"/>
      <w:color w:val="5A5A5A" w:themeColor="text1" w:themeTint="A5"/>
      <w:spacing w:val="15"/>
      <w:sz w:val="22"/>
      <w:szCs w:val="22"/>
    </w:rPr>
  </w:style>
  <w:style w:type="paragraph" w:styleId="Paragrafoelenco">
    <w:name w:val="List Paragraph"/>
    <w:basedOn w:val="Normale"/>
    <w:uiPriority w:val="34"/>
    <w:qFormat/>
    <w:rsid w:val="002E165B"/>
    <w:pPr>
      <w:ind w:left="720"/>
      <w:contextualSpacing/>
    </w:pPr>
  </w:style>
  <w:style w:type="paragraph" w:styleId="Sommario2">
    <w:name w:val="toc 2"/>
    <w:basedOn w:val="Normale"/>
    <w:autoRedefine/>
    <w:uiPriority w:val="39"/>
    <w:unhideWhenUsed/>
    <w:rsid w:val="00442375"/>
    <w:pPr>
      <w:spacing w:after="100"/>
      <w:ind w:left="240"/>
    </w:pPr>
  </w:style>
  <w:style w:type="paragraph" w:styleId="Intestazione">
    <w:name w:val="header"/>
    <w:basedOn w:val="Normale"/>
    <w:link w:val="IntestazioneCarattere"/>
    <w:uiPriority w:val="99"/>
    <w:unhideWhenUsed/>
    <w:rsid w:val="00FB3AB6"/>
    <w:pPr>
      <w:tabs>
        <w:tab w:val="center" w:pos="4819"/>
        <w:tab w:val="right" w:pos="9638"/>
      </w:tabs>
    </w:pPr>
  </w:style>
  <w:style w:type="paragraph" w:styleId="Pidipagina">
    <w:name w:val="footer"/>
    <w:basedOn w:val="Normale"/>
    <w:link w:val="PidipaginaCarattere"/>
    <w:uiPriority w:val="99"/>
    <w:unhideWhenUsed/>
    <w:rsid w:val="00FB3AB6"/>
    <w:pPr>
      <w:tabs>
        <w:tab w:val="center" w:pos="4819"/>
        <w:tab w:val="right" w:pos="9638"/>
      </w:tabs>
    </w:pPr>
  </w:style>
  <w:style w:type="paragraph" w:styleId="Testonotaapidipagina">
    <w:name w:val="footnote text"/>
    <w:basedOn w:val="Normale"/>
    <w:link w:val="TestonotaapidipaginaCarattere"/>
    <w:uiPriority w:val="99"/>
    <w:semiHidden/>
    <w:unhideWhenUsed/>
    <w:rsid w:val="00E021BF"/>
    <w:rPr>
      <w:sz w:val="20"/>
      <w:szCs w:val="20"/>
    </w:rPr>
  </w:style>
  <w:style w:type="character" w:customStyle="1" w:styleId="TestonotaapidipaginaCarattere">
    <w:name w:val="Testo nota a piè di pagina Carattere"/>
    <w:basedOn w:val="Carpredefinitoparagrafo"/>
    <w:link w:val="Testonotaapidipagina"/>
    <w:uiPriority w:val="99"/>
    <w:semiHidden/>
    <w:rsid w:val="00E021BF"/>
    <w:rPr>
      <w:sz w:val="20"/>
      <w:szCs w:val="20"/>
      <w:lang w:val="it-IT"/>
    </w:rPr>
  </w:style>
  <w:style w:type="character" w:styleId="Rimandonotaapidipagina">
    <w:name w:val="footnote reference"/>
    <w:basedOn w:val="Carpredefinitoparagrafo"/>
    <w:uiPriority w:val="99"/>
    <w:semiHidden/>
    <w:unhideWhenUsed/>
    <w:rsid w:val="00E021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41B70-099B-4458-878D-5AECB599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6588</Words>
  <Characters>37552</Characters>
  <Application>Microsoft Office Word</Application>
  <DocSecurity>0</DocSecurity>
  <Lines>312</Lines>
  <Paragraphs>88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Bonaldo</dc:creator>
  <dc:description/>
  <cp:lastModifiedBy>upi3</cp:lastModifiedBy>
  <cp:revision>2</cp:revision>
  <cp:lastPrinted>2023-06-15T08:11:00Z</cp:lastPrinted>
  <dcterms:created xsi:type="dcterms:W3CDTF">2024-11-12T08:55:00Z</dcterms:created>
  <dcterms:modified xsi:type="dcterms:W3CDTF">2024-11-12T08:55:00Z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Info 1">
    <vt:lpwstr/>
  </property>
  <property fmtid="{D5CDD505-2E9C-101B-9397-08002B2CF9AE}" pid="7" name="Info 2">
    <vt:lpwstr/>
  </property>
  <property fmtid="{D5CDD505-2E9C-101B-9397-08002B2CF9AE}" pid="8" name="Info 3">
    <vt:lpwstr/>
  </property>
  <property fmtid="{D5CDD505-2E9C-101B-9397-08002B2CF9AE}" pid="9" name="Info 4">
    <vt:lpwstr/>
  </property>
  <property fmtid="{D5CDD505-2E9C-101B-9397-08002B2CF9AE}" pid="10" name="LinksUpToDate">
    <vt:bool>false</vt:bool>
  </property>
  <property fmtid="{D5CDD505-2E9C-101B-9397-08002B2CF9AE}" pid="11" name="ScaleCrop">
    <vt:bool>false</vt:bool>
  </property>
  <property fmtid="{D5CDD505-2E9C-101B-9397-08002B2CF9AE}" pid="12" name="ShareDoc">
    <vt:bool>false</vt:bool>
  </property>
</Properties>
</file>